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EA" w:rsidRPr="00D02993" w:rsidRDefault="00A038EA" w:rsidP="00A038EA">
      <w:pPr>
        <w:spacing w:after="0"/>
        <w:jc w:val="center"/>
        <w:rPr>
          <w:rFonts w:ascii="Times New Roman" w:hAnsi="Times New Roman" w:cs="Times New Roman"/>
          <w:b/>
          <w:sz w:val="28"/>
          <w:szCs w:val="28"/>
        </w:rPr>
      </w:pPr>
      <w:r w:rsidRPr="00D02993">
        <w:rPr>
          <w:rFonts w:ascii="Times New Roman" w:hAnsi="Times New Roman" w:cs="Times New Roman"/>
          <w:b/>
          <w:sz w:val="28"/>
          <w:szCs w:val="28"/>
        </w:rPr>
        <w:t>Инструкция</w:t>
      </w:r>
    </w:p>
    <w:p w:rsidR="00566EC1" w:rsidRPr="00D02993" w:rsidRDefault="00A038EA" w:rsidP="00A038EA">
      <w:pPr>
        <w:spacing w:after="0"/>
        <w:jc w:val="center"/>
        <w:rPr>
          <w:rFonts w:ascii="Times New Roman" w:hAnsi="Times New Roman" w:cs="Times New Roman"/>
          <w:b/>
          <w:sz w:val="28"/>
          <w:szCs w:val="28"/>
        </w:rPr>
      </w:pPr>
      <w:r w:rsidRPr="00D02993">
        <w:rPr>
          <w:rFonts w:ascii="Times New Roman" w:hAnsi="Times New Roman" w:cs="Times New Roman"/>
          <w:b/>
          <w:sz w:val="28"/>
          <w:szCs w:val="28"/>
        </w:rPr>
        <w:t>по заполнению и представлению формы республиканского наблюдения № 1-инвест-рег «Сведения об инвестициях из-за рубежа»</w:t>
      </w:r>
    </w:p>
    <w:p w:rsidR="00A038EA" w:rsidRPr="00D02993" w:rsidRDefault="00A038EA" w:rsidP="00A038EA">
      <w:pPr>
        <w:pStyle w:val="21"/>
        <w:ind w:firstLine="709"/>
        <w:rPr>
          <w:sz w:val="28"/>
          <w:szCs w:val="28"/>
        </w:rPr>
      </w:pPr>
      <w:r w:rsidRPr="00D02993">
        <w:rPr>
          <w:sz w:val="28"/>
          <w:szCs w:val="28"/>
        </w:rPr>
        <w:t xml:space="preserve">1. Сведения по форме </w:t>
      </w:r>
      <w:r w:rsidR="00850D5A" w:rsidRPr="00D02993">
        <w:rPr>
          <w:sz w:val="28"/>
          <w:szCs w:val="28"/>
        </w:rPr>
        <w:t xml:space="preserve">№ 1-инвест-рег </w:t>
      </w:r>
      <w:r w:rsidRPr="00D02993">
        <w:rPr>
          <w:sz w:val="28"/>
          <w:szCs w:val="28"/>
        </w:rPr>
        <w:t>представляют юридические лица всех форм собственности, их</w:t>
      </w:r>
      <w:r w:rsidR="00BB1A90" w:rsidRPr="00D02993">
        <w:rPr>
          <w:sz w:val="28"/>
          <w:szCs w:val="28"/>
        </w:rPr>
        <w:t xml:space="preserve"> </w:t>
      </w:r>
      <w:r w:rsidRPr="00D02993">
        <w:rPr>
          <w:sz w:val="28"/>
          <w:szCs w:val="28"/>
        </w:rPr>
        <w:t>обособленные подразделения с долевым участием иностранных инвестиций, получающие инвестиции из-за рубежа (кроме кредитных организаций, имеющих лицензию Банка России на осуществление банковских операций), включая:</w:t>
      </w:r>
    </w:p>
    <w:p w:rsidR="00A038EA" w:rsidRPr="00D02993" w:rsidRDefault="00A038EA" w:rsidP="00A038EA">
      <w:pPr>
        <w:spacing w:after="0"/>
        <w:ind w:firstLine="709"/>
        <w:jc w:val="both"/>
        <w:rPr>
          <w:rFonts w:ascii="Times New Roman" w:hAnsi="Times New Roman" w:cs="Times New Roman"/>
          <w:sz w:val="28"/>
          <w:szCs w:val="28"/>
        </w:rPr>
      </w:pPr>
      <w:r w:rsidRPr="00D02993">
        <w:rPr>
          <w:rFonts w:ascii="Times New Roman" w:hAnsi="Times New Roman" w:cs="Times New Roman"/>
          <w:sz w:val="28"/>
          <w:szCs w:val="28"/>
        </w:rPr>
        <w:t xml:space="preserve"> а) филиалы, представительства иностранных юридических лиц, имеющие отдельный баланс, головные организации которых находятся за пределами Российской Федерации;</w:t>
      </w:r>
    </w:p>
    <w:p w:rsidR="00A038EA" w:rsidRPr="00D02993" w:rsidRDefault="00A038EA" w:rsidP="00A038EA">
      <w:pPr>
        <w:spacing w:after="0"/>
        <w:ind w:firstLine="709"/>
        <w:jc w:val="both"/>
        <w:rPr>
          <w:rFonts w:ascii="Times New Roman" w:hAnsi="Times New Roman" w:cs="Times New Roman"/>
          <w:sz w:val="28"/>
          <w:szCs w:val="28"/>
        </w:rPr>
      </w:pPr>
      <w:r w:rsidRPr="00D02993">
        <w:rPr>
          <w:rFonts w:ascii="Times New Roman" w:hAnsi="Times New Roman" w:cs="Times New Roman"/>
          <w:sz w:val="28"/>
          <w:szCs w:val="28"/>
        </w:rPr>
        <w:t xml:space="preserve"> б) организации, объединения, кооперативы, арендные, сельскохозяйственные и др. организации: </w:t>
      </w:r>
    </w:p>
    <w:p w:rsidR="00A038EA" w:rsidRPr="00D02993" w:rsidRDefault="00A038EA" w:rsidP="00A038EA">
      <w:pPr>
        <w:spacing w:after="0"/>
        <w:ind w:firstLine="708"/>
        <w:jc w:val="both"/>
        <w:rPr>
          <w:rFonts w:ascii="Times New Roman" w:hAnsi="Times New Roman" w:cs="Times New Roman"/>
          <w:sz w:val="28"/>
          <w:szCs w:val="28"/>
        </w:rPr>
      </w:pPr>
      <w:r w:rsidRPr="00D02993">
        <w:rPr>
          <w:rFonts w:ascii="Times New Roman" w:hAnsi="Times New Roman" w:cs="Times New Roman"/>
          <w:sz w:val="28"/>
          <w:szCs w:val="28"/>
        </w:rPr>
        <w:t>приобретенные в полную или частичную собственность зарубежными инвесторами (в том числе зарубежными филиалами российских юридических лиц);</w:t>
      </w:r>
    </w:p>
    <w:p w:rsidR="00A038EA" w:rsidRPr="00D02993" w:rsidRDefault="00A038EA" w:rsidP="00A038EA">
      <w:pPr>
        <w:spacing w:after="0"/>
        <w:ind w:firstLine="708"/>
        <w:jc w:val="both"/>
        <w:rPr>
          <w:rFonts w:ascii="Times New Roman" w:hAnsi="Times New Roman" w:cs="Times New Roman"/>
          <w:sz w:val="28"/>
          <w:szCs w:val="28"/>
        </w:rPr>
      </w:pPr>
      <w:r w:rsidRPr="00D02993">
        <w:rPr>
          <w:rFonts w:ascii="Times New Roman" w:hAnsi="Times New Roman" w:cs="Times New Roman"/>
          <w:sz w:val="28"/>
          <w:szCs w:val="28"/>
        </w:rPr>
        <w:t>получившие кредиты из-за рубежа, в том числе от зарубежных филиалов рос</w:t>
      </w:r>
      <w:r w:rsidR="00850D5A" w:rsidRPr="00D02993">
        <w:rPr>
          <w:rFonts w:ascii="Times New Roman" w:hAnsi="Times New Roman" w:cs="Times New Roman"/>
          <w:sz w:val="28"/>
          <w:szCs w:val="28"/>
        </w:rPr>
        <w:t>сийских юридических лиц.</w:t>
      </w:r>
    </w:p>
    <w:p w:rsidR="00A038EA" w:rsidRPr="00D02993" w:rsidRDefault="00A038EA" w:rsidP="00A038EA">
      <w:pPr>
        <w:pStyle w:val="21"/>
        <w:ind w:firstLine="708"/>
        <w:rPr>
          <w:sz w:val="28"/>
          <w:szCs w:val="28"/>
        </w:rPr>
      </w:pPr>
      <w:r w:rsidRPr="00D02993">
        <w:rPr>
          <w:sz w:val="28"/>
          <w:szCs w:val="28"/>
        </w:rPr>
        <w:t>Организации, получившие кредиты из-за рубежа, представляют сведения по форме № 1-инвест-рег независимо от наличия доли иностранного инвестора в уставном капитале.</w:t>
      </w:r>
    </w:p>
    <w:p w:rsidR="00A038EA" w:rsidRPr="00D02993" w:rsidRDefault="00A038EA" w:rsidP="00A038EA">
      <w:pPr>
        <w:pStyle w:val="21"/>
        <w:ind w:firstLine="709"/>
        <w:rPr>
          <w:sz w:val="28"/>
          <w:szCs w:val="28"/>
        </w:rPr>
      </w:pPr>
      <w:r w:rsidRPr="00D02993">
        <w:rPr>
          <w:sz w:val="28"/>
          <w:szCs w:val="28"/>
        </w:rPr>
        <w:t xml:space="preserve">Если при реорганизации предприятия с иностранными инвестициями произошло выбытие иностранных инвестиций, отчет по указанной форме организацией не представляется. </w:t>
      </w:r>
    </w:p>
    <w:p w:rsidR="00A038EA" w:rsidRPr="00D02993" w:rsidRDefault="00A038EA" w:rsidP="00A038EA">
      <w:pPr>
        <w:pStyle w:val="21"/>
        <w:ind w:firstLine="709"/>
        <w:rPr>
          <w:sz w:val="28"/>
          <w:szCs w:val="28"/>
        </w:rPr>
      </w:pPr>
      <w:r w:rsidRPr="00D02993">
        <w:rPr>
          <w:sz w:val="28"/>
          <w:szCs w:val="28"/>
        </w:rPr>
        <w:t xml:space="preserve">2. Организации-банкроты, на которых введено конкурсное управление, не освобождаются от предоставления сведений по указанной форме.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(п. 3 ст. 149 Федерального закона от 26.10.2002 №127-ФЗ «О несостоятельности (банкротстве)») организация-должник считается ликвидированной и освобождается от предоставления сведений по указанной форме. </w:t>
      </w:r>
    </w:p>
    <w:p w:rsidR="00814FD9" w:rsidRPr="00D02993" w:rsidRDefault="00A038EA" w:rsidP="00814FD9">
      <w:pPr>
        <w:pStyle w:val="21"/>
        <w:ind w:firstLine="709"/>
        <w:rPr>
          <w:sz w:val="28"/>
          <w:szCs w:val="28"/>
        </w:rPr>
      </w:pPr>
      <w:r w:rsidRPr="00D02993">
        <w:rPr>
          <w:sz w:val="28"/>
          <w:szCs w:val="28"/>
        </w:rPr>
        <w:t xml:space="preserve">3. </w:t>
      </w:r>
      <w:r w:rsidR="00BB1A90" w:rsidRPr="00D02993">
        <w:rPr>
          <w:sz w:val="28"/>
          <w:szCs w:val="28"/>
        </w:rPr>
        <w:t>Вышеуказанные организации представляют сведения по</w:t>
      </w:r>
      <w:r w:rsidR="00850D5A" w:rsidRPr="00D02993">
        <w:rPr>
          <w:sz w:val="28"/>
          <w:szCs w:val="28"/>
        </w:rPr>
        <w:t xml:space="preserve"> форме № 1-инвест-рег на 15 календарный день после отчетного периода Территориальному органу Федеральной службы государственной статистики по Республике Татарстан для </w:t>
      </w:r>
      <w:r w:rsidR="00A66892">
        <w:rPr>
          <w:sz w:val="28"/>
          <w:szCs w:val="28"/>
        </w:rPr>
        <w:t>Министерства экономики Республики Татарстан</w:t>
      </w:r>
      <w:r w:rsidR="00850D5A" w:rsidRPr="00D02993">
        <w:rPr>
          <w:sz w:val="28"/>
          <w:szCs w:val="28"/>
        </w:rPr>
        <w:t xml:space="preserve"> по установленному им адресу.</w:t>
      </w:r>
    </w:p>
    <w:p w:rsidR="00EF6F3B" w:rsidRPr="00D02993" w:rsidRDefault="00850D5A" w:rsidP="000A4B38">
      <w:pPr>
        <w:pStyle w:val="21"/>
        <w:ind w:firstLine="708"/>
        <w:rPr>
          <w:sz w:val="28"/>
          <w:szCs w:val="28"/>
        </w:rPr>
      </w:pPr>
      <w:r w:rsidRPr="00D02993">
        <w:rPr>
          <w:sz w:val="28"/>
          <w:szCs w:val="28"/>
        </w:rPr>
        <w:t xml:space="preserve">4. </w:t>
      </w:r>
      <w:r w:rsidR="00814FD9" w:rsidRPr="00D02993">
        <w:rPr>
          <w:sz w:val="28"/>
          <w:szCs w:val="28"/>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r w:rsidR="00EF6F3B" w:rsidRPr="00D02993">
        <w:t xml:space="preserve"> </w:t>
      </w:r>
      <w:r w:rsidR="00EF6F3B" w:rsidRPr="00D02993">
        <w:rPr>
          <w:sz w:val="28"/>
          <w:szCs w:val="28"/>
        </w:rPr>
        <w:t>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EF6F3B" w:rsidRPr="00D02993" w:rsidRDefault="00814FD9" w:rsidP="00EF6F3B">
      <w:pPr>
        <w:pStyle w:val="21"/>
        <w:ind w:firstLine="708"/>
        <w:rPr>
          <w:sz w:val="28"/>
          <w:szCs w:val="28"/>
        </w:rPr>
      </w:pPr>
      <w:r w:rsidRPr="00D02993">
        <w:rPr>
          <w:sz w:val="28"/>
          <w:szCs w:val="28"/>
        </w:rPr>
        <w:t>По строке «Почтовый адрес» указывается юридический адрес организации с почтовым индексом.</w:t>
      </w:r>
      <w:r w:rsidR="00EF6F3B" w:rsidRPr="00D02993">
        <w:rPr>
          <w:sz w:val="28"/>
          <w:szCs w:val="28"/>
        </w:rPr>
        <w:t xml:space="preserve"> </w:t>
      </w:r>
      <w:r w:rsidRPr="00D02993">
        <w:rPr>
          <w:sz w:val="28"/>
          <w:szCs w:val="28"/>
        </w:rPr>
        <w:t xml:space="preserve">Если фактический адрес не совпадает с юридическим, то </w:t>
      </w:r>
      <w:r w:rsidRPr="00D02993">
        <w:rPr>
          <w:sz w:val="28"/>
          <w:szCs w:val="28"/>
        </w:rPr>
        <w:lastRenderedPageBreak/>
        <w:t>указывается также почтовый адрес, по которому фактиче</w:t>
      </w:r>
      <w:r w:rsidR="00EF6F3B" w:rsidRPr="00D02993">
        <w:rPr>
          <w:sz w:val="28"/>
          <w:szCs w:val="28"/>
        </w:rPr>
        <w:t>ски находится юридическое лицо. Для обособленных подразделения, не имеющих юридического адреса, указывается почтовый адрес с почтовым индексом.</w:t>
      </w:r>
    </w:p>
    <w:p w:rsidR="000A4B38" w:rsidRPr="00D02993" w:rsidRDefault="000A4B38" w:rsidP="000A4B38">
      <w:pPr>
        <w:pStyle w:val="21"/>
        <w:ind w:firstLine="708"/>
        <w:rPr>
          <w:sz w:val="28"/>
          <w:szCs w:val="28"/>
        </w:rPr>
      </w:pPr>
      <w:r w:rsidRPr="00D02993">
        <w:rPr>
          <w:sz w:val="28"/>
          <w:szCs w:val="28"/>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Территориальный орган Федеральной службы государственной статистики по Республике Татарстан.</w:t>
      </w:r>
    </w:p>
    <w:p w:rsidR="000A4B38" w:rsidRPr="00D02993" w:rsidRDefault="000A4B38" w:rsidP="000A4B38">
      <w:pPr>
        <w:pStyle w:val="21"/>
        <w:ind w:firstLine="708"/>
        <w:rPr>
          <w:sz w:val="28"/>
          <w:szCs w:val="28"/>
        </w:rPr>
      </w:pPr>
      <w:r w:rsidRPr="00D02993">
        <w:rPr>
          <w:sz w:val="28"/>
          <w:szCs w:val="28"/>
        </w:rPr>
        <w:t>По территориально-обособ</w:t>
      </w:r>
      <w:bookmarkStart w:id="0" w:name="_GoBack"/>
      <w:bookmarkEnd w:id="0"/>
      <w:r w:rsidRPr="00D02993">
        <w:rPr>
          <w:sz w:val="28"/>
          <w:szCs w:val="28"/>
        </w:rPr>
        <w:t>ленным подразделениям юридического лица указывается идентификационный номер, который устанавливается Территориальный орган Федеральной службы государственной статистики по Республике Татарстан.</w:t>
      </w:r>
    </w:p>
    <w:p w:rsidR="00610905" w:rsidRPr="00D02993" w:rsidRDefault="000A4B38" w:rsidP="00610905">
      <w:pPr>
        <w:pStyle w:val="31"/>
        <w:ind w:firstLine="709"/>
        <w:rPr>
          <w:szCs w:val="28"/>
        </w:rPr>
      </w:pPr>
      <w:r w:rsidRPr="00D02993">
        <w:rPr>
          <w:szCs w:val="28"/>
        </w:rPr>
        <w:t xml:space="preserve">5. </w:t>
      </w:r>
      <w:r w:rsidR="00247FEB">
        <w:rPr>
          <w:szCs w:val="28"/>
        </w:rPr>
        <w:t>Республиканское</w:t>
      </w:r>
      <w:r w:rsidR="00610905" w:rsidRPr="00D02993">
        <w:rPr>
          <w:szCs w:val="28"/>
        </w:rPr>
        <w:t xml:space="preserve"> наблюдение за движением иностранного капитала по форме</w:t>
      </w:r>
      <w:r w:rsidR="00BB1A90" w:rsidRPr="00D02993">
        <w:rPr>
          <w:szCs w:val="28"/>
        </w:rPr>
        <w:t xml:space="preserve"> № 1-инвест-рег осуществляется </w:t>
      </w:r>
      <w:r w:rsidR="00610905" w:rsidRPr="00D02993">
        <w:rPr>
          <w:szCs w:val="28"/>
        </w:rPr>
        <w:t xml:space="preserve">в соответствии с Федеральным законом от 9 июля </w:t>
      </w:r>
      <w:smartTag w:uri="urn:schemas-microsoft-com:office:smarttags" w:element="metricconverter">
        <w:smartTagPr>
          <w:attr w:name="ProductID" w:val="1999 г"/>
        </w:smartTagPr>
        <w:r w:rsidR="00610905" w:rsidRPr="00D02993">
          <w:rPr>
            <w:szCs w:val="28"/>
          </w:rPr>
          <w:t>1999 г</w:t>
        </w:r>
      </w:smartTag>
      <w:r w:rsidR="00610905" w:rsidRPr="00D02993">
        <w:rPr>
          <w:szCs w:val="28"/>
        </w:rPr>
        <w:t>. № 160-ФЗ «Об иностранных инвестициях в Российской Федерации» (с изменениями и дополнениями) и Руководством по платежному балансу</w:t>
      </w:r>
      <w:r w:rsidR="006A0508" w:rsidRPr="00D02993">
        <w:rPr>
          <w:szCs w:val="28"/>
        </w:rPr>
        <w:t xml:space="preserve"> и международной инвестиционной позиции</w:t>
      </w:r>
      <w:r w:rsidR="00610905" w:rsidRPr="00D02993">
        <w:rPr>
          <w:szCs w:val="28"/>
        </w:rPr>
        <w:t>, опубликованным МВФ (</w:t>
      </w:r>
      <w:r w:rsidR="006A0508" w:rsidRPr="00D02993">
        <w:rPr>
          <w:szCs w:val="28"/>
        </w:rPr>
        <w:t>6</w:t>
      </w:r>
      <w:r w:rsidR="00610905" w:rsidRPr="00D02993">
        <w:rPr>
          <w:szCs w:val="28"/>
        </w:rPr>
        <w:t xml:space="preserve">-ое издание, </w:t>
      </w:r>
      <w:r w:rsidR="006A0508" w:rsidRPr="00D02993">
        <w:rPr>
          <w:szCs w:val="28"/>
        </w:rPr>
        <w:t>2009</w:t>
      </w:r>
      <w:r w:rsidR="00610905" w:rsidRPr="00D02993">
        <w:rPr>
          <w:szCs w:val="28"/>
        </w:rPr>
        <w:t xml:space="preserve"> г.).</w:t>
      </w:r>
    </w:p>
    <w:p w:rsidR="00610905" w:rsidRPr="00D02993" w:rsidRDefault="00610905" w:rsidP="00610905">
      <w:pPr>
        <w:pStyle w:val="21"/>
        <w:ind w:firstLine="709"/>
        <w:rPr>
          <w:sz w:val="28"/>
          <w:szCs w:val="28"/>
        </w:rPr>
      </w:pPr>
      <w:r w:rsidRPr="00D02993">
        <w:rPr>
          <w:sz w:val="28"/>
          <w:szCs w:val="28"/>
        </w:rPr>
        <w:t>В форме № 1-инвест-рег отражаются операции между резидентами и нерезидентами. Операции, включающие две резидентные стороны, не относятся  к  иностранным  инвестициям и  не  отражаются в  указанной форме.</w:t>
      </w:r>
    </w:p>
    <w:p w:rsidR="007B6FA4" w:rsidRPr="00D02993" w:rsidRDefault="007B6FA4" w:rsidP="007B6FA4">
      <w:pPr>
        <w:pStyle w:val="21"/>
        <w:ind w:firstLine="708"/>
        <w:rPr>
          <w:sz w:val="28"/>
          <w:szCs w:val="28"/>
        </w:rPr>
      </w:pPr>
      <w:r w:rsidRPr="00D02993">
        <w:rPr>
          <w:bCs/>
          <w:sz w:val="28"/>
          <w:szCs w:val="28"/>
        </w:rPr>
        <w:t>К</w:t>
      </w:r>
      <w:r w:rsidRPr="00D02993">
        <w:rPr>
          <w:sz w:val="28"/>
          <w:szCs w:val="28"/>
        </w:rPr>
        <w:t xml:space="preserve"> </w:t>
      </w:r>
      <w:r w:rsidRPr="00D02993">
        <w:rPr>
          <w:b/>
          <w:sz w:val="28"/>
          <w:szCs w:val="28"/>
        </w:rPr>
        <w:t>резидентам</w:t>
      </w:r>
      <w:r w:rsidR="003F18E1" w:rsidRPr="00D02993">
        <w:rPr>
          <w:b/>
          <w:sz w:val="28"/>
          <w:szCs w:val="28"/>
        </w:rPr>
        <w:t xml:space="preserve"> России</w:t>
      </w:r>
      <w:r w:rsidRPr="00D02993">
        <w:rPr>
          <w:b/>
          <w:sz w:val="28"/>
          <w:szCs w:val="28"/>
          <w:vertAlign w:val="superscript"/>
        </w:rPr>
        <w:footnoteReference w:customMarkFollows="1" w:id="1"/>
        <w:t>*</w:t>
      </w:r>
      <w:r w:rsidRPr="00D02993">
        <w:rPr>
          <w:sz w:val="28"/>
          <w:szCs w:val="28"/>
        </w:rPr>
        <w:t xml:space="preserve"> относятся:</w:t>
      </w:r>
    </w:p>
    <w:p w:rsidR="007B6FA4" w:rsidRPr="00D02993" w:rsidRDefault="007B6FA4" w:rsidP="007B6FA4">
      <w:pPr>
        <w:pStyle w:val="21"/>
        <w:ind w:firstLine="708"/>
        <w:rPr>
          <w:sz w:val="28"/>
          <w:szCs w:val="28"/>
        </w:rPr>
      </w:pPr>
      <w:r w:rsidRPr="00D02993">
        <w:rPr>
          <w:sz w:val="28"/>
          <w:szCs w:val="28"/>
        </w:rPr>
        <w:t>а) юридические лица, созданные в соответствии с законодательством Российской Федерации, с местонахождением в Российской Федерации;</w:t>
      </w:r>
    </w:p>
    <w:p w:rsidR="007B6FA4" w:rsidRPr="00D02993" w:rsidRDefault="007B6FA4" w:rsidP="007B6FA4">
      <w:pPr>
        <w:pStyle w:val="21"/>
        <w:ind w:firstLine="708"/>
        <w:rPr>
          <w:sz w:val="28"/>
          <w:szCs w:val="28"/>
        </w:rPr>
      </w:pPr>
      <w:r w:rsidRPr="00D02993">
        <w:rPr>
          <w:sz w:val="28"/>
          <w:szCs w:val="28"/>
        </w:rPr>
        <w:t>б) организации, не являющиеся юридическими лицами, созданные в соответствии с законодательством Российской Федерации, с местонахождением в Российской Федерации;</w:t>
      </w:r>
    </w:p>
    <w:p w:rsidR="007B6FA4" w:rsidRPr="00D02993" w:rsidRDefault="007B6FA4" w:rsidP="007B6FA4">
      <w:pPr>
        <w:pStyle w:val="21"/>
        <w:ind w:firstLine="708"/>
        <w:rPr>
          <w:sz w:val="28"/>
          <w:szCs w:val="28"/>
        </w:rPr>
      </w:pPr>
      <w:r w:rsidRPr="00D02993">
        <w:rPr>
          <w:sz w:val="28"/>
          <w:szCs w:val="28"/>
        </w:rPr>
        <w:t>в) находящиеся в Российской Федерации филиалы и представительства нерезидентов, указанных в пунктах «а» и «б» понятия «нерезидентов России»;</w:t>
      </w:r>
    </w:p>
    <w:p w:rsidR="007B6FA4" w:rsidRPr="00D02993" w:rsidRDefault="007B6FA4" w:rsidP="007B6FA4">
      <w:pPr>
        <w:pStyle w:val="21"/>
        <w:ind w:firstLine="708"/>
        <w:rPr>
          <w:sz w:val="28"/>
          <w:szCs w:val="28"/>
        </w:rPr>
      </w:pPr>
      <w:r w:rsidRPr="00D02993">
        <w:rPr>
          <w:sz w:val="28"/>
          <w:szCs w:val="28"/>
        </w:rPr>
        <w:t xml:space="preserve">г) физические лица, имеющие постоянное местожительство в Российской Федерации, в том числе временно находящиеся за пределами Российской Федерации; </w:t>
      </w:r>
    </w:p>
    <w:p w:rsidR="007B6FA4" w:rsidRPr="00D02993" w:rsidRDefault="007B6FA4" w:rsidP="007B6FA4">
      <w:pPr>
        <w:pStyle w:val="21"/>
        <w:ind w:firstLine="708"/>
        <w:rPr>
          <w:sz w:val="28"/>
          <w:szCs w:val="28"/>
        </w:rPr>
      </w:pPr>
      <w:r w:rsidRPr="00D02993">
        <w:rPr>
          <w:sz w:val="28"/>
          <w:szCs w:val="28"/>
        </w:rPr>
        <w:t>д) находящиеся за пределами Российской Федерации российские посольства, консульства и другие российские дипломатические и официальные представительства.</w:t>
      </w:r>
    </w:p>
    <w:p w:rsidR="007B6FA4" w:rsidRPr="00D02993" w:rsidRDefault="007B6FA4" w:rsidP="007B6FA4">
      <w:pPr>
        <w:pStyle w:val="21"/>
        <w:ind w:firstLine="708"/>
        <w:rPr>
          <w:sz w:val="28"/>
          <w:szCs w:val="28"/>
        </w:rPr>
      </w:pPr>
      <w:r w:rsidRPr="00D02993">
        <w:rPr>
          <w:sz w:val="28"/>
          <w:szCs w:val="28"/>
        </w:rPr>
        <w:t>К</w:t>
      </w:r>
      <w:r w:rsidRPr="00D02993">
        <w:rPr>
          <w:b/>
          <w:sz w:val="28"/>
          <w:szCs w:val="28"/>
        </w:rPr>
        <w:t xml:space="preserve"> нерезидентам</w:t>
      </w:r>
      <w:r w:rsidR="003F18E1" w:rsidRPr="00D02993">
        <w:rPr>
          <w:b/>
          <w:sz w:val="28"/>
          <w:szCs w:val="28"/>
        </w:rPr>
        <w:t xml:space="preserve"> России</w:t>
      </w:r>
      <w:r w:rsidRPr="00D02993">
        <w:rPr>
          <w:b/>
          <w:sz w:val="28"/>
          <w:szCs w:val="28"/>
          <w:vertAlign w:val="superscript"/>
        </w:rPr>
        <w:footnoteReference w:customMarkFollows="1" w:id="2"/>
        <w:t>*</w:t>
      </w:r>
      <w:r w:rsidRPr="00D02993">
        <w:rPr>
          <w:sz w:val="28"/>
          <w:szCs w:val="28"/>
        </w:rPr>
        <w:t xml:space="preserve"> относятся:</w:t>
      </w:r>
    </w:p>
    <w:p w:rsidR="007B6FA4" w:rsidRPr="00D02993" w:rsidRDefault="007B6FA4" w:rsidP="007B6FA4">
      <w:pPr>
        <w:pStyle w:val="21"/>
        <w:ind w:firstLine="708"/>
        <w:rPr>
          <w:sz w:val="28"/>
          <w:szCs w:val="28"/>
        </w:rPr>
      </w:pPr>
      <w:r w:rsidRPr="00D02993">
        <w:rPr>
          <w:sz w:val="28"/>
          <w:szCs w:val="28"/>
        </w:rPr>
        <w:t>а) юридические лица, созданные в соответствии с законодательством иностранных государств, с местонахождением за пределами Российской Федерации;</w:t>
      </w:r>
    </w:p>
    <w:p w:rsidR="007B6FA4" w:rsidRPr="00D02993" w:rsidRDefault="007B6FA4" w:rsidP="007B6FA4">
      <w:pPr>
        <w:pStyle w:val="21"/>
        <w:ind w:firstLine="708"/>
        <w:rPr>
          <w:sz w:val="28"/>
          <w:szCs w:val="28"/>
        </w:rPr>
      </w:pPr>
      <w:r w:rsidRPr="00D02993">
        <w:rPr>
          <w:sz w:val="28"/>
          <w:szCs w:val="28"/>
        </w:rPr>
        <w:t>б)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Российской Федерации;</w:t>
      </w:r>
    </w:p>
    <w:p w:rsidR="007B6FA4" w:rsidRPr="00D02993" w:rsidRDefault="007B6FA4" w:rsidP="007B6FA4">
      <w:pPr>
        <w:pStyle w:val="21"/>
        <w:ind w:firstLine="708"/>
        <w:rPr>
          <w:sz w:val="28"/>
          <w:szCs w:val="28"/>
        </w:rPr>
      </w:pPr>
      <w:r w:rsidRPr="00D02993">
        <w:rPr>
          <w:sz w:val="28"/>
          <w:szCs w:val="28"/>
        </w:rPr>
        <w:t>в) находящиеся за пределами Российской Федерации филиалы и представительства резидентов, указанных в пунктах «а» и «б» понятия «резидентов России»;</w:t>
      </w:r>
    </w:p>
    <w:p w:rsidR="007B6FA4" w:rsidRPr="00D02993" w:rsidRDefault="007B6FA4" w:rsidP="007B6FA4">
      <w:pPr>
        <w:pStyle w:val="21"/>
        <w:ind w:firstLine="708"/>
        <w:rPr>
          <w:sz w:val="28"/>
          <w:szCs w:val="28"/>
        </w:rPr>
      </w:pPr>
      <w:r w:rsidRPr="00D02993">
        <w:rPr>
          <w:sz w:val="28"/>
          <w:szCs w:val="28"/>
        </w:rPr>
        <w:lastRenderedPageBreak/>
        <w:t xml:space="preserve">г) физические лица, имеющие постоянное местожительство за пределами  Российской Федерации, в том числе временно находящиеся в Российской Федерации; </w:t>
      </w:r>
    </w:p>
    <w:p w:rsidR="007B6FA4" w:rsidRPr="00D02993" w:rsidRDefault="007B6FA4" w:rsidP="007B6FA4">
      <w:pPr>
        <w:pStyle w:val="21"/>
        <w:ind w:firstLine="708"/>
        <w:rPr>
          <w:sz w:val="28"/>
          <w:szCs w:val="28"/>
        </w:rPr>
      </w:pPr>
      <w:r w:rsidRPr="00D02993">
        <w:rPr>
          <w:sz w:val="28"/>
          <w:szCs w:val="28"/>
        </w:rPr>
        <w:t>д) находящиеся в Российской Федерации иностранные дипломатические и иные официальные представительства, а также международные организации, их филиалы и представительства.</w:t>
      </w:r>
    </w:p>
    <w:p w:rsidR="007B6FA4" w:rsidRPr="00D02993" w:rsidRDefault="007B6FA4" w:rsidP="007B6FA4">
      <w:pPr>
        <w:pStyle w:val="21"/>
        <w:ind w:firstLine="709"/>
        <w:rPr>
          <w:sz w:val="28"/>
          <w:szCs w:val="28"/>
        </w:rPr>
      </w:pPr>
      <w:r w:rsidRPr="00D02993">
        <w:rPr>
          <w:sz w:val="28"/>
          <w:szCs w:val="28"/>
        </w:rPr>
        <w:t xml:space="preserve">6. Под </w:t>
      </w:r>
      <w:r w:rsidRPr="00D02993">
        <w:rPr>
          <w:b/>
          <w:sz w:val="28"/>
          <w:szCs w:val="28"/>
        </w:rPr>
        <w:t>инвестициями из-за рубежа</w:t>
      </w:r>
      <w:r w:rsidRPr="00D02993">
        <w:rPr>
          <w:sz w:val="28"/>
          <w:szCs w:val="28"/>
        </w:rPr>
        <w:t xml:space="preserve"> понимаются вложения  капитала иностранными инвесторами, а также зарубежными филиалами российских юридических лиц в объекты предпринимательской деятельности на территории России в целях получения дохода. </w:t>
      </w:r>
    </w:p>
    <w:p w:rsidR="007B6FA4" w:rsidRPr="00D02993" w:rsidRDefault="007B6FA4" w:rsidP="007B6FA4">
      <w:pPr>
        <w:pStyle w:val="21"/>
        <w:ind w:firstLine="709"/>
        <w:rPr>
          <w:sz w:val="28"/>
          <w:szCs w:val="28"/>
        </w:rPr>
      </w:pPr>
      <w:r w:rsidRPr="00D02993">
        <w:rPr>
          <w:sz w:val="28"/>
          <w:szCs w:val="28"/>
        </w:rPr>
        <w:t>К инвестициям относ</w:t>
      </w:r>
      <w:r w:rsidR="00CB52C2" w:rsidRPr="00D02993">
        <w:rPr>
          <w:sz w:val="28"/>
          <w:szCs w:val="28"/>
        </w:rPr>
        <w:t>ится</w:t>
      </w:r>
      <w:r w:rsidRPr="00D02993">
        <w:rPr>
          <w:sz w:val="28"/>
          <w:szCs w:val="28"/>
        </w:rPr>
        <w:t xml:space="preserve"> приобретение в полную или частичную собственность организаций, покупка акций и прочих ценных бумаг, взносы в уставный (складочный) капитал предприятий с иностранными инвестициями, кредиты юридическим и физическим лицам, а также банковские вклады и приобретение недвижимости.</w:t>
      </w:r>
    </w:p>
    <w:p w:rsidR="007B6FA4" w:rsidRPr="00D02993" w:rsidRDefault="007B6FA4" w:rsidP="007B6FA4">
      <w:pPr>
        <w:pStyle w:val="21"/>
        <w:ind w:firstLine="709"/>
        <w:rPr>
          <w:sz w:val="28"/>
          <w:szCs w:val="28"/>
        </w:rPr>
      </w:pPr>
      <w:r w:rsidRPr="00D02993">
        <w:rPr>
          <w:sz w:val="28"/>
          <w:szCs w:val="28"/>
        </w:rPr>
        <w:t>Стоимость инвестиций (кроме денежных средств) оценивается по согласованной между продавцом и покупателем рыночной цене на соответствующую дату, что должно быть отражено в соответствующих документах. Под рыночной ценой подразумевается сумма денег, которую покупатель добровольно платит, чтобы приобрести что-то у продавца, когда оба они являются независимыми сторонами и когда присутствуют только коммерческие соображения.</w:t>
      </w:r>
    </w:p>
    <w:p w:rsidR="007B6FA4" w:rsidRPr="00D02993" w:rsidRDefault="007B6FA4" w:rsidP="00D65F8E">
      <w:pPr>
        <w:pStyle w:val="21"/>
        <w:ind w:firstLine="709"/>
        <w:rPr>
          <w:sz w:val="28"/>
          <w:szCs w:val="28"/>
        </w:rPr>
      </w:pPr>
      <w:r w:rsidRPr="00D02993">
        <w:rPr>
          <w:sz w:val="28"/>
          <w:szCs w:val="28"/>
        </w:rPr>
        <w:t xml:space="preserve">Положения Федерального закона от 9 июля </w:t>
      </w:r>
      <w:smartTag w:uri="urn:schemas-microsoft-com:office:smarttags" w:element="metricconverter">
        <w:smartTagPr>
          <w:attr w:name="ProductID" w:val="1999 г"/>
        </w:smartTagPr>
        <w:r w:rsidRPr="00D02993">
          <w:rPr>
            <w:sz w:val="28"/>
            <w:szCs w:val="28"/>
          </w:rPr>
          <w:t>1999 г</w:t>
        </w:r>
      </w:smartTag>
      <w:r w:rsidRPr="00D02993">
        <w:rPr>
          <w:sz w:val="28"/>
          <w:szCs w:val="28"/>
        </w:rPr>
        <w:t xml:space="preserve">. № 160-ФЗ «Об иностранных инвестициях в Российской  Федерации» не распространяются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законодательством Российской Федерации о некоммерческих организациях (ст. 1 Федерального закона от 9 июля </w:t>
      </w:r>
      <w:smartTag w:uri="urn:schemas-microsoft-com:office:smarttags" w:element="metricconverter">
        <w:smartTagPr>
          <w:attr w:name="ProductID" w:val="1999 г"/>
        </w:smartTagPr>
        <w:r w:rsidRPr="00D02993">
          <w:rPr>
            <w:sz w:val="28"/>
            <w:szCs w:val="28"/>
          </w:rPr>
          <w:t>1999 г</w:t>
        </w:r>
      </w:smartTag>
      <w:r w:rsidRPr="00D02993">
        <w:rPr>
          <w:sz w:val="28"/>
          <w:szCs w:val="28"/>
        </w:rPr>
        <w:t xml:space="preserve">. № 160-ФЗ «Об иностранных инвестициях в Российской Федерации»). </w:t>
      </w:r>
    </w:p>
    <w:p w:rsidR="007B6FA4" w:rsidRPr="00D02993" w:rsidRDefault="007B6FA4" w:rsidP="007B6FA4">
      <w:pPr>
        <w:pStyle w:val="21"/>
        <w:ind w:firstLine="708"/>
        <w:rPr>
          <w:sz w:val="28"/>
          <w:szCs w:val="28"/>
        </w:rPr>
      </w:pPr>
      <w:r w:rsidRPr="00D02993">
        <w:rPr>
          <w:sz w:val="28"/>
          <w:szCs w:val="28"/>
        </w:rPr>
        <w:t xml:space="preserve">Техническая помощь, безвозмездная финансовая помощь, гранты международных организаций согласно Руководству по составлению </w:t>
      </w:r>
      <w:r w:rsidR="007A34AE" w:rsidRPr="00D02993">
        <w:rPr>
          <w:sz w:val="28"/>
          <w:szCs w:val="28"/>
        </w:rPr>
        <w:t>платежного баланса и международной инвестиционной позиции</w:t>
      </w:r>
      <w:r w:rsidRPr="00D02993">
        <w:rPr>
          <w:sz w:val="28"/>
          <w:szCs w:val="28"/>
        </w:rPr>
        <w:t xml:space="preserve"> относятся к текущим трансфертам (трансферт – операция, в ходе которой одна институциональная единица предоставляет другой единице товар, услугу или актив, не получая от нее взамен никакого эквивалента в виде другого товара, услуги или актива). Показатели, относящиеся к трансфертам, в </w:t>
      </w:r>
      <w:r w:rsidR="00D65F8E">
        <w:rPr>
          <w:sz w:val="28"/>
          <w:szCs w:val="28"/>
        </w:rPr>
        <w:t>республиканскую</w:t>
      </w:r>
      <w:r w:rsidRPr="00D02993">
        <w:rPr>
          <w:sz w:val="28"/>
          <w:szCs w:val="28"/>
        </w:rPr>
        <w:t xml:space="preserve"> отчетность по форме № 1-инвест-рег не включаются.</w:t>
      </w:r>
    </w:p>
    <w:p w:rsidR="007B6FA4" w:rsidRPr="00D02993" w:rsidRDefault="007B6FA4" w:rsidP="007B6FA4">
      <w:pPr>
        <w:pStyle w:val="21"/>
        <w:ind w:firstLine="708"/>
        <w:rPr>
          <w:sz w:val="28"/>
          <w:szCs w:val="28"/>
        </w:rPr>
      </w:pPr>
      <w:r w:rsidRPr="00D02993">
        <w:rPr>
          <w:sz w:val="28"/>
          <w:szCs w:val="28"/>
        </w:rPr>
        <w:t>7. В заголовочной части необходимо указать код вида инвестирования:</w:t>
      </w:r>
    </w:p>
    <w:p w:rsidR="007B6FA4" w:rsidRPr="00D02993" w:rsidRDefault="007B6FA4" w:rsidP="007B6FA4">
      <w:pPr>
        <w:pStyle w:val="21"/>
        <w:ind w:firstLine="708"/>
        <w:rPr>
          <w:sz w:val="28"/>
          <w:szCs w:val="28"/>
        </w:rPr>
      </w:pPr>
      <w:r w:rsidRPr="00D02993">
        <w:rPr>
          <w:b/>
          <w:sz w:val="28"/>
          <w:szCs w:val="28"/>
        </w:rPr>
        <w:t>код (по ОКСМ)</w:t>
      </w:r>
      <w:r w:rsidRPr="00D02993">
        <w:rPr>
          <w:sz w:val="28"/>
          <w:szCs w:val="28"/>
        </w:rPr>
        <w:t xml:space="preserve"> страны, из которой поступили инвестиции</w:t>
      </w:r>
      <w:r w:rsidR="00B2675B" w:rsidRPr="00D02993">
        <w:rPr>
          <w:sz w:val="28"/>
          <w:szCs w:val="28"/>
        </w:rPr>
        <w:t>.</w:t>
      </w:r>
    </w:p>
    <w:p w:rsidR="007B6FA4" w:rsidRPr="00D02993" w:rsidRDefault="007B6FA4" w:rsidP="007B6FA4">
      <w:pPr>
        <w:pStyle w:val="21"/>
        <w:ind w:firstLine="708"/>
        <w:rPr>
          <w:sz w:val="28"/>
          <w:szCs w:val="28"/>
        </w:rPr>
      </w:pPr>
      <w:r w:rsidRPr="00D02993">
        <w:rPr>
          <w:sz w:val="28"/>
          <w:szCs w:val="28"/>
        </w:rPr>
        <w:t>Поступление инвестиций в Россию от иностранного инвестора, ведущего свою деятельность на территории своего национального государства, но имеющего юридическую регистрацию своей фирмы на территории другого иностранного государства, относится к стране, в которой зарегистрирована фирма.</w:t>
      </w:r>
    </w:p>
    <w:p w:rsidR="007B6FA4" w:rsidRPr="00D02993" w:rsidRDefault="007B6FA4" w:rsidP="007B6FA4">
      <w:pPr>
        <w:pStyle w:val="21"/>
        <w:ind w:firstLine="708"/>
        <w:rPr>
          <w:sz w:val="28"/>
          <w:szCs w:val="28"/>
          <w:u w:val="single"/>
        </w:rPr>
      </w:pPr>
      <w:r w:rsidRPr="00D02993">
        <w:rPr>
          <w:b/>
          <w:sz w:val="28"/>
          <w:szCs w:val="28"/>
          <w:u w:val="single"/>
        </w:rPr>
        <w:t>По  каждой стране-инвестору составляется отдельный отчет</w:t>
      </w:r>
      <w:r w:rsidRPr="00D02993">
        <w:rPr>
          <w:sz w:val="28"/>
          <w:szCs w:val="28"/>
          <w:u w:val="single"/>
        </w:rPr>
        <w:t>.</w:t>
      </w:r>
    </w:p>
    <w:p w:rsidR="007B6FA4" w:rsidRPr="00D02993" w:rsidRDefault="007B6FA4" w:rsidP="007B6FA4">
      <w:pPr>
        <w:pStyle w:val="21"/>
        <w:ind w:firstLine="708"/>
        <w:rPr>
          <w:sz w:val="28"/>
          <w:szCs w:val="28"/>
        </w:rPr>
      </w:pPr>
      <w:r w:rsidRPr="00D02993">
        <w:rPr>
          <w:sz w:val="28"/>
          <w:szCs w:val="28"/>
        </w:rPr>
        <w:t xml:space="preserve">8. Все операции со свободно конвертируемой валютой показываются в долларах США. Все операции с местными валютами государств-участников СНГ и </w:t>
      </w:r>
      <w:r w:rsidRPr="00D02993">
        <w:rPr>
          <w:sz w:val="28"/>
          <w:szCs w:val="28"/>
        </w:rPr>
        <w:lastRenderedPageBreak/>
        <w:t>другими валютами, не относящимися к свободно конвертируемой валюте, показываются в рублях, переведенных по курсу, установленному Центральным банком Российской Федерации на момент проведения операции. Рублевые операции показываются в рублях. Показатели приводятся в тысячах долларов США и в тысячах рублей с одним десятичным знаком после запятой.</w:t>
      </w:r>
    </w:p>
    <w:p w:rsidR="007B6FA4" w:rsidRPr="00D02993" w:rsidRDefault="007B6FA4" w:rsidP="007B6FA4">
      <w:pPr>
        <w:pStyle w:val="21"/>
        <w:ind w:firstLine="708"/>
        <w:rPr>
          <w:sz w:val="28"/>
          <w:szCs w:val="28"/>
        </w:rPr>
      </w:pPr>
      <w:r w:rsidRPr="00D02993">
        <w:rPr>
          <w:sz w:val="28"/>
          <w:szCs w:val="28"/>
        </w:rPr>
        <w:t>9.</w:t>
      </w:r>
      <w:r w:rsidRPr="00D02993">
        <w:rPr>
          <w:b/>
          <w:sz w:val="28"/>
          <w:szCs w:val="28"/>
        </w:rPr>
        <w:t xml:space="preserve"> В графах</w:t>
      </w:r>
      <w:r w:rsidRPr="00D02993">
        <w:rPr>
          <w:sz w:val="28"/>
          <w:szCs w:val="28"/>
        </w:rPr>
        <w:t xml:space="preserve"> </w:t>
      </w:r>
      <w:r w:rsidRPr="00D02993">
        <w:rPr>
          <w:b/>
          <w:bCs/>
          <w:sz w:val="28"/>
          <w:szCs w:val="28"/>
        </w:rPr>
        <w:t xml:space="preserve">1 </w:t>
      </w:r>
      <w:r w:rsidRPr="00D02993">
        <w:rPr>
          <w:sz w:val="28"/>
          <w:szCs w:val="28"/>
        </w:rPr>
        <w:t xml:space="preserve">и </w:t>
      </w:r>
      <w:r w:rsidRPr="00D02993">
        <w:rPr>
          <w:b/>
          <w:bCs/>
          <w:sz w:val="28"/>
          <w:szCs w:val="28"/>
        </w:rPr>
        <w:t>2</w:t>
      </w:r>
      <w:r w:rsidRPr="00D02993">
        <w:rPr>
          <w:sz w:val="28"/>
          <w:szCs w:val="28"/>
        </w:rPr>
        <w:t xml:space="preserve"> указываются накопленные организацией инвестиции, т.е. общий объем  инвестиций, произведенных (или полученных) организацией с начала их вложения (с учетом погашения (выбытия) в предыдущие годы) в соответствии с учредительными документами, договорами, контрактами и т.п., соответственно в тысячах долларов США или в тысячах рублей по состоянию на начало отчетного года. Данные на начало отчетного года приводятся с учетом переоценки и прочих изменений активов и обязательств предыдущего периода. </w:t>
      </w:r>
    </w:p>
    <w:p w:rsidR="007B6FA4" w:rsidRPr="00D02993" w:rsidRDefault="007B6FA4" w:rsidP="007B6FA4">
      <w:pPr>
        <w:pStyle w:val="21"/>
        <w:ind w:firstLine="708"/>
        <w:rPr>
          <w:sz w:val="28"/>
          <w:szCs w:val="28"/>
        </w:rPr>
      </w:pPr>
      <w:r w:rsidRPr="00D02993">
        <w:rPr>
          <w:sz w:val="28"/>
          <w:szCs w:val="28"/>
        </w:rPr>
        <w:t>Накопление иностранных инвестиций на конец отчетного периода определяется как накопление на начало отчетного года, плюс поступление за отчетный период, минус изъятие (погашение) за отчетный период, с учетом переоценки и прочих  изменений активов и обязательств.</w:t>
      </w:r>
    </w:p>
    <w:p w:rsidR="007B6FA4" w:rsidRPr="00D02993" w:rsidRDefault="007B6FA4" w:rsidP="007B6FA4">
      <w:pPr>
        <w:pStyle w:val="21"/>
        <w:ind w:firstLine="708"/>
        <w:rPr>
          <w:sz w:val="28"/>
          <w:szCs w:val="28"/>
        </w:rPr>
      </w:pPr>
      <w:r w:rsidRPr="00D02993">
        <w:rPr>
          <w:sz w:val="28"/>
          <w:szCs w:val="28"/>
        </w:rPr>
        <w:t>Накопление иностранных инвестиций на начало отчетного года по организации должно совпадать с накоплением иностранных инвестиций на конец предыдущего периода.</w:t>
      </w:r>
    </w:p>
    <w:p w:rsidR="007B6FA4" w:rsidRPr="00D02993" w:rsidRDefault="007B6FA4" w:rsidP="007B6FA4">
      <w:pPr>
        <w:pStyle w:val="21"/>
        <w:ind w:firstLine="708"/>
        <w:rPr>
          <w:sz w:val="28"/>
          <w:szCs w:val="28"/>
        </w:rPr>
      </w:pPr>
      <w:r w:rsidRPr="00D02993">
        <w:rPr>
          <w:sz w:val="28"/>
          <w:szCs w:val="28"/>
        </w:rPr>
        <w:t xml:space="preserve">10. </w:t>
      </w:r>
      <w:r w:rsidRPr="00D02993">
        <w:rPr>
          <w:b/>
          <w:sz w:val="28"/>
          <w:szCs w:val="28"/>
        </w:rPr>
        <w:t>В графах</w:t>
      </w:r>
      <w:r w:rsidRPr="00D02993">
        <w:rPr>
          <w:b/>
          <w:bCs/>
          <w:sz w:val="28"/>
          <w:szCs w:val="28"/>
        </w:rPr>
        <w:t xml:space="preserve"> 3</w:t>
      </w:r>
      <w:r w:rsidRPr="00D02993">
        <w:rPr>
          <w:sz w:val="28"/>
          <w:szCs w:val="28"/>
        </w:rPr>
        <w:t xml:space="preserve"> и </w:t>
      </w:r>
      <w:r w:rsidRPr="00D02993">
        <w:rPr>
          <w:b/>
          <w:bCs/>
          <w:sz w:val="28"/>
          <w:szCs w:val="28"/>
        </w:rPr>
        <w:t>4</w:t>
      </w:r>
      <w:r w:rsidRPr="00D02993">
        <w:rPr>
          <w:sz w:val="28"/>
          <w:szCs w:val="28"/>
        </w:rPr>
        <w:t xml:space="preserve"> отражается объем поступивших в Россию из-за рубежа инвестиций и инвестиционных доходов за отчетный период соответственно в тысячах долларов США или в тысячах рублей.</w:t>
      </w:r>
    </w:p>
    <w:p w:rsidR="007B6FA4" w:rsidRPr="00D02993" w:rsidRDefault="007B6FA4" w:rsidP="007B6FA4">
      <w:pPr>
        <w:pStyle w:val="21"/>
        <w:ind w:firstLine="708"/>
        <w:rPr>
          <w:sz w:val="28"/>
          <w:szCs w:val="28"/>
        </w:rPr>
      </w:pPr>
      <w:r w:rsidRPr="00D02993">
        <w:rPr>
          <w:sz w:val="28"/>
          <w:szCs w:val="28"/>
        </w:rPr>
        <w:t xml:space="preserve">11. </w:t>
      </w:r>
      <w:r w:rsidRPr="00D02993">
        <w:rPr>
          <w:b/>
          <w:sz w:val="28"/>
          <w:szCs w:val="28"/>
        </w:rPr>
        <w:t>В графах</w:t>
      </w:r>
      <w:r w:rsidRPr="00D02993">
        <w:rPr>
          <w:b/>
          <w:bCs/>
          <w:sz w:val="28"/>
          <w:szCs w:val="28"/>
        </w:rPr>
        <w:t xml:space="preserve"> 5 </w:t>
      </w:r>
      <w:r w:rsidRPr="00D02993">
        <w:rPr>
          <w:sz w:val="28"/>
          <w:szCs w:val="28"/>
        </w:rPr>
        <w:t>и</w:t>
      </w:r>
      <w:r w:rsidRPr="00D02993">
        <w:rPr>
          <w:b/>
          <w:bCs/>
          <w:sz w:val="28"/>
          <w:szCs w:val="28"/>
        </w:rPr>
        <w:t xml:space="preserve"> 6 </w:t>
      </w:r>
      <w:r w:rsidRPr="00D02993">
        <w:rPr>
          <w:sz w:val="28"/>
          <w:szCs w:val="28"/>
        </w:rPr>
        <w:t xml:space="preserve"> указывается изъятие (погашение) инвестиций за отчетный период (погашение задолженности по кредитам, продажа акций, изъятие (выбытие) инвестиций за отчетный период в связи с ликвидацией организации и т.п.) соответственно в тысячах долларов США или в тысячах рублей.</w:t>
      </w:r>
    </w:p>
    <w:p w:rsidR="007B6FA4" w:rsidRPr="00D02993" w:rsidRDefault="007B6FA4" w:rsidP="007B6FA4">
      <w:pPr>
        <w:pStyle w:val="21"/>
        <w:ind w:firstLine="708"/>
        <w:rPr>
          <w:sz w:val="28"/>
          <w:szCs w:val="28"/>
        </w:rPr>
      </w:pPr>
      <w:r w:rsidRPr="00D02993">
        <w:rPr>
          <w:sz w:val="28"/>
          <w:szCs w:val="28"/>
        </w:rPr>
        <w:t xml:space="preserve">12. </w:t>
      </w:r>
      <w:r w:rsidRPr="00D02993">
        <w:rPr>
          <w:b/>
          <w:sz w:val="28"/>
          <w:szCs w:val="28"/>
        </w:rPr>
        <w:t>В графах</w:t>
      </w:r>
      <w:r w:rsidRPr="00D02993">
        <w:rPr>
          <w:sz w:val="28"/>
          <w:szCs w:val="28"/>
        </w:rPr>
        <w:t xml:space="preserve"> </w:t>
      </w:r>
      <w:r w:rsidRPr="00D02993">
        <w:rPr>
          <w:b/>
          <w:bCs/>
          <w:sz w:val="28"/>
          <w:szCs w:val="28"/>
        </w:rPr>
        <w:t>7</w:t>
      </w:r>
      <w:r w:rsidRPr="00D02993">
        <w:rPr>
          <w:sz w:val="28"/>
          <w:szCs w:val="28"/>
        </w:rPr>
        <w:t xml:space="preserve"> и </w:t>
      </w:r>
      <w:r w:rsidRPr="00D02993">
        <w:rPr>
          <w:b/>
          <w:bCs/>
          <w:sz w:val="28"/>
          <w:szCs w:val="28"/>
        </w:rPr>
        <w:t>8</w:t>
      </w:r>
      <w:r w:rsidRPr="00D02993">
        <w:rPr>
          <w:sz w:val="28"/>
          <w:szCs w:val="28"/>
        </w:rPr>
        <w:t xml:space="preserve"> отражается переоценка и прочие изменения активов и обязательств (прирост инвестиций (+), снижение (-)). Сюда относятся такие изменения активов и обязательств, которые не нашли отражение в графах с 3 по 6:</w:t>
      </w:r>
    </w:p>
    <w:p w:rsidR="007B6FA4" w:rsidRPr="00D02993" w:rsidRDefault="007B6FA4" w:rsidP="007B6FA4">
      <w:pPr>
        <w:pStyle w:val="21"/>
        <w:ind w:firstLine="708"/>
        <w:rPr>
          <w:sz w:val="28"/>
          <w:szCs w:val="28"/>
        </w:rPr>
      </w:pPr>
      <w:r w:rsidRPr="00D02993">
        <w:rPr>
          <w:sz w:val="28"/>
          <w:szCs w:val="28"/>
        </w:rPr>
        <w:t>изменения вследствие пересмотра структуры инвестиций (например, когда участие инвестора в капитале компании достигает пороговых 10% и его вложения переходят из категории портфельных инвестиций в категорию прямых):</w:t>
      </w:r>
    </w:p>
    <w:p w:rsidR="007B6FA4" w:rsidRPr="00D02993" w:rsidRDefault="007B6FA4" w:rsidP="004235DB">
      <w:pPr>
        <w:pStyle w:val="21"/>
        <w:ind w:firstLine="708"/>
        <w:jc w:val="right"/>
        <w:rPr>
          <w:b/>
          <w:sz w:val="28"/>
          <w:szCs w:val="28"/>
          <w:lang w:val="en-US"/>
        </w:rPr>
      </w:pPr>
      <w:r w:rsidRPr="00D02993">
        <w:rPr>
          <w:b/>
          <w:sz w:val="28"/>
          <w:szCs w:val="28"/>
        </w:rPr>
        <w:t>Пример 1</w:t>
      </w:r>
      <w:r w:rsidRPr="00D02993">
        <w:rPr>
          <w:b/>
          <w:sz w:val="28"/>
          <w:szCs w:val="28"/>
          <w:lang w:val="en-US"/>
        </w:rPr>
        <w:t>:</w:t>
      </w:r>
    </w:p>
    <w:p w:rsidR="007B6FA4" w:rsidRPr="00D02993" w:rsidRDefault="007B6FA4" w:rsidP="007B6FA4">
      <w:pPr>
        <w:pStyle w:val="21"/>
        <w:ind w:firstLine="708"/>
        <w:rPr>
          <w:b/>
          <w:sz w:val="28"/>
          <w:szCs w:val="2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1561"/>
        <w:gridCol w:w="1440"/>
        <w:gridCol w:w="2385"/>
        <w:gridCol w:w="1701"/>
      </w:tblGrid>
      <w:tr w:rsidR="007B6FA4" w:rsidRPr="00D02993" w:rsidTr="004235DB">
        <w:trPr>
          <w:trHeight w:val="1189"/>
        </w:trPr>
        <w:tc>
          <w:tcPr>
            <w:tcW w:w="1560" w:type="dxa"/>
          </w:tcPr>
          <w:p w:rsidR="007B6FA4" w:rsidRPr="00D02993" w:rsidRDefault="007B6FA4" w:rsidP="007B6FA4">
            <w:pPr>
              <w:pStyle w:val="21"/>
              <w:ind w:firstLine="708"/>
              <w:rPr>
                <w:sz w:val="22"/>
                <w:szCs w:val="22"/>
              </w:rPr>
            </w:pPr>
          </w:p>
        </w:tc>
        <w:tc>
          <w:tcPr>
            <w:tcW w:w="1559" w:type="dxa"/>
          </w:tcPr>
          <w:p w:rsidR="007B6FA4" w:rsidRPr="00D02993" w:rsidRDefault="007B6FA4" w:rsidP="004235DB">
            <w:pPr>
              <w:pStyle w:val="21"/>
              <w:jc w:val="center"/>
              <w:rPr>
                <w:sz w:val="22"/>
                <w:szCs w:val="22"/>
              </w:rPr>
            </w:pPr>
            <w:r w:rsidRPr="00D02993">
              <w:rPr>
                <w:sz w:val="22"/>
                <w:szCs w:val="22"/>
              </w:rPr>
              <w:t>Накоплено</w:t>
            </w:r>
            <w:r w:rsidR="004235DB" w:rsidRPr="00D02993">
              <w:rPr>
                <w:sz w:val="22"/>
                <w:szCs w:val="22"/>
              </w:rPr>
              <w:t xml:space="preserve"> </w:t>
            </w:r>
            <w:r w:rsidRPr="00D02993">
              <w:rPr>
                <w:sz w:val="22"/>
                <w:szCs w:val="22"/>
              </w:rPr>
              <w:t>на начало отчетног</w:t>
            </w:r>
            <w:r w:rsidR="004235DB" w:rsidRPr="00D02993">
              <w:rPr>
                <w:sz w:val="22"/>
                <w:szCs w:val="22"/>
              </w:rPr>
              <w:t xml:space="preserve">о </w:t>
            </w:r>
            <w:r w:rsidRPr="00D02993">
              <w:rPr>
                <w:sz w:val="22"/>
                <w:szCs w:val="22"/>
              </w:rPr>
              <w:t>года</w:t>
            </w:r>
          </w:p>
        </w:tc>
        <w:tc>
          <w:tcPr>
            <w:tcW w:w="1561" w:type="dxa"/>
          </w:tcPr>
          <w:p w:rsidR="007B6FA4" w:rsidRPr="00D02993" w:rsidRDefault="007B6FA4" w:rsidP="004235DB">
            <w:pPr>
              <w:pStyle w:val="21"/>
              <w:jc w:val="center"/>
              <w:rPr>
                <w:sz w:val="22"/>
                <w:szCs w:val="22"/>
              </w:rPr>
            </w:pPr>
            <w:r w:rsidRPr="00D02993">
              <w:rPr>
                <w:sz w:val="22"/>
                <w:szCs w:val="22"/>
              </w:rPr>
              <w:t>Поступило инвестиций</w:t>
            </w:r>
          </w:p>
        </w:tc>
        <w:tc>
          <w:tcPr>
            <w:tcW w:w="1440" w:type="dxa"/>
          </w:tcPr>
          <w:p w:rsidR="007B6FA4" w:rsidRPr="00D02993" w:rsidRDefault="007B6FA4" w:rsidP="004235DB">
            <w:pPr>
              <w:pStyle w:val="21"/>
              <w:jc w:val="center"/>
              <w:rPr>
                <w:sz w:val="22"/>
                <w:szCs w:val="22"/>
              </w:rPr>
            </w:pPr>
            <w:r w:rsidRPr="00D02993">
              <w:rPr>
                <w:sz w:val="22"/>
                <w:szCs w:val="22"/>
              </w:rPr>
              <w:t>Изъято (погашено)</w:t>
            </w:r>
          </w:p>
        </w:tc>
        <w:tc>
          <w:tcPr>
            <w:tcW w:w="2385" w:type="dxa"/>
          </w:tcPr>
          <w:p w:rsidR="007B6FA4" w:rsidRPr="00D02993" w:rsidRDefault="007B6FA4" w:rsidP="004235DB">
            <w:pPr>
              <w:pStyle w:val="21"/>
              <w:jc w:val="center"/>
              <w:rPr>
                <w:sz w:val="22"/>
                <w:szCs w:val="22"/>
              </w:rPr>
            </w:pPr>
            <w:r w:rsidRPr="00D02993">
              <w:rPr>
                <w:sz w:val="22"/>
                <w:szCs w:val="22"/>
              </w:rPr>
              <w:t>Переоценка</w:t>
            </w:r>
          </w:p>
          <w:p w:rsidR="007B6FA4" w:rsidRPr="00D02993" w:rsidRDefault="007B6FA4" w:rsidP="004235DB">
            <w:pPr>
              <w:pStyle w:val="21"/>
              <w:jc w:val="center"/>
              <w:rPr>
                <w:sz w:val="22"/>
                <w:szCs w:val="22"/>
              </w:rPr>
            </w:pPr>
            <w:r w:rsidRPr="00D02993">
              <w:rPr>
                <w:sz w:val="22"/>
                <w:szCs w:val="22"/>
              </w:rPr>
              <w:t>и прочие изменения активов и обязательств</w:t>
            </w:r>
          </w:p>
        </w:tc>
        <w:tc>
          <w:tcPr>
            <w:tcW w:w="1701" w:type="dxa"/>
          </w:tcPr>
          <w:p w:rsidR="007B6FA4" w:rsidRPr="00D02993" w:rsidRDefault="007B6FA4" w:rsidP="004235DB">
            <w:pPr>
              <w:pStyle w:val="21"/>
              <w:jc w:val="center"/>
              <w:rPr>
                <w:sz w:val="22"/>
                <w:szCs w:val="22"/>
              </w:rPr>
            </w:pPr>
            <w:r w:rsidRPr="00D02993">
              <w:rPr>
                <w:sz w:val="22"/>
                <w:szCs w:val="22"/>
              </w:rPr>
              <w:t>Накоплено</w:t>
            </w:r>
          </w:p>
          <w:p w:rsidR="007B6FA4" w:rsidRPr="00D02993" w:rsidRDefault="007B6FA4" w:rsidP="004235DB">
            <w:pPr>
              <w:pStyle w:val="21"/>
              <w:jc w:val="center"/>
              <w:rPr>
                <w:sz w:val="22"/>
                <w:szCs w:val="22"/>
              </w:rPr>
            </w:pPr>
            <w:r w:rsidRPr="00D02993">
              <w:rPr>
                <w:sz w:val="22"/>
                <w:szCs w:val="22"/>
              </w:rPr>
              <w:t>на конец отчетного периода</w:t>
            </w:r>
          </w:p>
        </w:tc>
      </w:tr>
      <w:tr w:rsidR="007B6FA4" w:rsidRPr="00D02993" w:rsidTr="004235DB">
        <w:trPr>
          <w:trHeight w:val="594"/>
        </w:trPr>
        <w:tc>
          <w:tcPr>
            <w:tcW w:w="1560" w:type="dxa"/>
          </w:tcPr>
          <w:p w:rsidR="007B6FA4" w:rsidRPr="00D02993" w:rsidRDefault="007B6FA4" w:rsidP="004235DB">
            <w:pPr>
              <w:pStyle w:val="21"/>
              <w:rPr>
                <w:sz w:val="22"/>
                <w:szCs w:val="22"/>
              </w:rPr>
            </w:pPr>
            <w:r w:rsidRPr="00D02993">
              <w:rPr>
                <w:sz w:val="22"/>
                <w:szCs w:val="22"/>
              </w:rPr>
              <w:t xml:space="preserve">Прямые инвестиции </w:t>
            </w:r>
          </w:p>
        </w:tc>
        <w:tc>
          <w:tcPr>
            <w:tcW w:w="1559"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w:t>
            </w:r>
          </w:p>
        </w:tc>
        <w:tc>
          <w:tcPr>
            <w:tcW w:w="1561"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500</w:t>
            </w:r>
          </w:p>
        </w:tc>
        <w:tc>
          <w:tcPr>
            <w:tcW w:w="1440"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w:t>
            </w:r>
          </w:p>
        </w:tc>
        <w:tc>
          <w:tcPr>
            <w:tcW w:w="2385"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+1000</w:t>
            </w:r>
          </w:p>
        </w:tc>
        <w:tc>
          <w:tcPr>
            <w:tcW w:w="1701"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1500</w:t>
            </w:r>
          </w:p>
        </w:tc>
      </w:tr>
      <w:tr w:rsidR="007B6FA4" w:rsidRPr="00D02993" w:rsidTr="004235DB">
        <w:trPr>
          <w:trHeight w:val="540"/>
        </w:trPr>
        <w:tc>
          <w:tcPr>
            <w:tcW w:w="1560" w:type="dxa"/>
          </w:tcPr>
          <w:p w:rsidR="007B6FA4" w:rsidRPr="00D02993" w:rsidRDefault="007B6FA4" w:rsidP="007B6FA4">
            <w:pPr>
              <w:pStyle w:val="21"/>
              <w:ind w:firstLine="708"/>
              <w:rPr>
                <w:sz w:val="22"/>
                <w:szCs w:val="22"/>
              </w:rPr>
            </w:pPr>
            <w:r w:rsidRPr="00D02993">
              <w:rPr>
                <w:sz w:val="22"/>
                <w:szCs w:val="22"/>
              </w:rPr>
              <w:t xml:space="preserve"> Портфельные </w:t>
            </w:r>
          </w:p>
          <w:p w:rsidR="007B6FA4" w:rsidRPr="00D02993" w:rsidRDefault="007B6FA4" w:rsidP="004235DB">
            <w:pPr>
              <w:pStyle w:val="21"/>
              <w:rPr>
                <w:sz w:val="22"/>
                <w:szCs w:val="22"/>
              </w:rPr>
            </w:pPr>
            <w:r w:rsidRPr="00D02993">
              <w:rPr>
                <w:sz w:val="22"/>
                <w:szCs w:val="22"/>
              </w:rPr>
              <w:t xml:space="preserve">инвестиции   </w:t>
            </w:r>
          </w:p>
        </w:tc>
        <w:tc>
          <w:tcPr>
            <w:tcW w:w="1559"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1000</w:t>
            </w:r>
          </w:p>
        </w:tc>
        <w:tc>
          <w:tcPr>
            <w:tcW w:w="1561"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w:t>
            </w:r>
          </w:p>
        </w:tc>
        <w:tc>
          <w:tcPr>
            <w:tcW w:w="1440"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w:t>
            </w:r>
          </w:p>
        </w:tc>
        <w:tc>
          <w:tcPr>
            <w:tcW w:w="2385"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-1000</w:t>
            </w:r>
          </w:p>
        </w:tc>
        <w:tc>
          <w:tcPr>
            <w:tcW w:w="1701" w:type="dxa"/>
          </w:tcPr>
          <w:p w:rsidR="007B6FA4" w:rsidRPr="00D02993" w:rsidRDefault="007B6FA4" w:rsidP="007B6FA4">
            <w:pPr>
              <w:pStyle w:val="21"/>
              <w:ind w:firstLine="708"/>
              <w:rPr>
                <w:sz w:val="22"/>
                <w:szCs w:val="22"/>
              </w:rPr>
            </w:pPr>
          </w:p>
          <w:p w:rsidR="007B6FA4" w:rsidRPr="00D02993" w:rsidRDefault="007B6FA4" w:rsidP="007B6FA4">
            <w:pPr>
              <w:pStyle w:val="21"/>
              <w:ind w:firstLine="708"/>
              <w:rPr>
                <w:sz w:val="22"/>
                <w:szCs w:val="22"/>
              </w:rPr>
            </w:pPr>
            <w:r w:rsidRPr="00D02993">
              <w:rPr>
                <w:sz w:val="22"/>
                <w:szCs w:val="22"/>
              </w:rPr>
              <w:t>-</w:t>
            </w:r>
          </w:p>
        </w:tc>
      </w:tr>
    </w:tbl>
    <w:p w:rsidR="007B6FA4" w:rsidRPr="00D02993" w:rsidRDefault="007B6FA4" w:rsidP="007B6FA4">
      <w:pPr>
        <w:pStyle w:val="21"/>
        <w:ind w:firstLine="708"/>
        <w:rPr>
          <w:b/>
          <w:iCs/>
          <w:sz w:val="28"/>
          <w:szCs w:val="28"/>
        </w:rPr>
      </w:pPr>
    </w:p>
    <w:p w:rsidR="007B6FA4" w:rsidRPr="00D02993" w:rsidRDefault="007B6FA4" w:rsidP="007B6FA4">
      <w:pPr>
        <w:pStyle w:val="21"/>
        <w:ind w:firstLine="708"/>
        <w:rPr>
          <w:sz w:val="28"/>
          <w:szCs w:val="28"/>
        </w:rPr>
      </w:pPr>
      <w:r w:rsidRPr="00D02993">
        <w:rPr>
          <w:b/>
          <w:iCs/>
          <w:sz w:val="28"/>
          <w:szCs w:val="28"/>
        </w:rPr>
        <w:t>Например,</w:t>
      </w:r>
      <w:r w:rsidRPr="00D02993">
        <w:rPr>
          <w:sz w:val="28"/>
          <w:szCs w:val="28"/>
        </w:rPr>
        <w:t xml:space="preserve"> если зарубежный инвестор, которому ранее принадлежало менее 10% акций (в форме портфельных инвестиций), дополнительно к имеющимся </w:t>
      </w:r>
      <w:r w:rsidRPr="00D02993">
        <w:rPr>
          <w:sz w:val="28"/>
          <w:szCs w:val="28"/>
        </w:rPr>
        <w:lastRenderedPageBreak/>
        <w:t>покупает  такое количество акций, которое обеспечивает ему 10-ти процентное участие в капитале, то в этом случае в категории прямых инвестиций регистрируется как поступление, эквивалентное стоимости приобретенных дополнительных акций. Стоимость ранее принадлежавших инвестору акций, составлявших менее 10% акционерного капитала (в виде портфельных инвестиций), отражается как отрицательное изменение активов и обязательств по портфельным инвестициям  и – как адекватное положительное изменение активов и обязательств – по прямым инвестициям</w:t>
      </w:r>
      <w:r w:rsidR="004235DB" w:rsidRPr="00D02993">
        <w:rPr>
          <w:sz w:val="28"/>
          <w:szCs w:val="28"/>
        </w:rPr>
        <w:t xml:space="preserve">. </w:t>
      </w:r>
      <w:r w:rsidRPr="00D02993">
        <w:rPr>
          <w:sz w:val="28"/>
          <w:szCs w:val="28"/>
        </w:rPr>
        <w:t>Общая стоимость акций, составляющих более 10% акционерного капитала, характеризует  накопление прямых инвестиций на конец отчетного периода:</w:t>
      </w:r>
    </w:p>
    <w:p w:rsidR="007B6FA4" w:rsidRPr="00D02993" w:rsidRDefault="007B6FA4" w:rsidP="007B6FA4">
      <w:pPr>
        <w:pStyle w:val="21"/>
        <w:ind w:firstLine="708"/>
        <w:rPr>
          <w:sz w:val="28"/>
          <w:szCs w:val="28"/>
        </w:rPr>
      </w:pPr>
      <w:r w:rsidRPr="00D02993">
        <w:rPr>
          <w:sz w:val="28"/>
          <w:szCs w:val="28"/>
        </w:rPr>
        <w:t xml:space="preserve"> курсовые разницы от переоценки в доллары США активов  и обязательств, выраженных в валютах, отличных от доллара США: </w:t>
      </w:r>
    </w:p>
    <w:p w:rsidR="007B6FA4" w:rsidRPr="00D02993" w:rsidRDefault="007B6FA4" w:rsidP="004235DB">
      <w:pPr>
        <w:pStyle w:val="21"/>
        <w:ind w:firstLine="708"/>
        <w:jc w:val="right"/>
        <w:rPr>
          <w:b/>
          <w:sz w:val="28"/>
          <w:szCs w:val="28"/>
        </w:rPr>
      </w:pPr>
      <w:r w:rsidRPr="00D02993">
        <w:rPr>
          <w:b/>
          <w:sz w:val="28"/>
          <w:szCs w:val="28"/>
        </w:rPr>
        <w:t>Пример 2</w:t>
      </w:r>
      <w:r w:rsidRPr="00D02993">
        <w:rPr>
          <w:b/>
          <w:sz w:val="28"/>
          <w:szCs w:val="28"/>
          <w:lang w:val="en-US"/>
        </w:rPr>
        <w:t>:</w:t>
      </w:r>
    </w:p>
    <w:p w:rsidR="007B6FA4" w:rsidRPr="00D02993" w:rsidRDefault="007B6FA4" w:rsidP="007B6FA4">
      <w:pPr>
        <w:pStyle w:val="21"/>
        <w:ind w:firstLine="708"/>
        <w:rPr>
          <w:sz w:val="28"/>
          <w:szCs w:val="28"/>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1440"/>
        <w:gridCol w:w="1440"/>
        <w:gridCol w:w="1557"/>
        <w:gridCol w:w="1843"/>
        <w:gridCol w:w="2126"/>
      </w:tblGrid>
      <w:tr w:rsidR="007B6FA4" w:rsidRPr="00D02993" w:rsidTr="004235DB">
        <w:trPr>
          <w:cantSplit/>
        </w:trPr>
        <w:tc>
          <w:tcPr>
            <w:tcW w:w="1800" w:type="dxa"/>
          </w:tcPr>
          <w:p w:rsidR="007B6FA4" w:rsidRPr="00D02993" w:rsidRDefault="007B6FA4" w:rsidP="007B6FA4">
            <w:pPr>
              <w:pStyle w:val="21"/>
              <w:ind w:firstLine="708"/>
              <w:rPr>
                <w:sz w:val="22"/>
                <w:szCs w:val="22"/>
              </w:rPr>
            </w:pPr>
          </w:p>
        </w:tc>
        <w:tc>
          <w:tcPr>
            <w:tcW w:w="1440" w:type="dxa"/>
          </w:tcPr>
          <w:p w:rsidR="007B6FA4" w:rsidRPr="00D02993" w:rsidRDefault="004235DB" w:rsidP="004235DB">
            <w:pPr>
              <w:pStyle w:val="21"/>
              <w:jc w:val="center"/>
              <w:rPr>
                <w:sz w:val="22"/>
                <w:szCs w:val="22"/>
              </w:rPr>
            </w:pPr>
            <w:r w:rsidRPr="00D02993">
              <w:rPr>
                <w:sz w:val="22"/>
                <w:szCs w:val="22"/>
              </w:rPr>
              <w:t xml:space="preserve">Накоплено </w:t>
            </w:r>
            <w:r w:rsidR="007B6FA4" w:rsidRPr="00D02993">
              <w:rPr>
                <w:sz w:val="22"/>
                <w:szCs w:val="22"/>
              </w:rPr>
              <w:t>на начало отчетного года</w:t>
            </w:r>
          </w:p>
        </w:tc>
        <w:tc>
          <w:tcPr>
            <w:tcW w:w="1440" w:type="dxa"/>
          </w:tcPr>
          <w:p w:rsidR="007B6FA4" w:rsidRPr="00D02993" w:rsidRDefault="007B6FA4" w:rsidP="004235DB">
            <w:pPr>
              <w:pStyle w:val="21"/>
              <w:jc w:val="center"/>
              <w:rPr>
                <w:sz w:val="22"/>
                <w:szCs w:val="22"/>
              </w:rPr>
            </w:pPr>
            <w:r w:rsidRPr="00D02993">
              <w:rPr>
                <w:sz w:val="22"/>
                <w:szCs w:val="22"/>
              </w:rPr>
              <w:t>Поступило инвестиций</w:t>
            </w:r>
          </w:p>
          <w:p w:rsidR="007B6FA4" w:rsidRPr="00D02993" w:rsidRDefault="007B6FA4" w:rsidP="004235DB">
            <w:pPr>
              <w:pStyle w:val="21"/>
              <w:ind w:firstLine="708"/>
              <w:jc w:val="center"/>
              <w:rPr>
                <w:sz w:val="22"/>
                <w:szCs w:val="22"/>
              </w:rPr>
            </w:pPr>
          </w:p>
        </w:tc>
        <w:tc>
          <w:tcPr>
            <w:tcW w:w="1557" w:type="dxa"/>
          </w:tcPr>
          <w:p w:rsidR="007B6FA4" w:rsidRPr="00D02993" w:rsidRDefault="007B6FA4" w:rsidP="004235DB">
            <w:pPr>
              <w:pStyle w:val="21"/>
              <w:jc w:val="center"/>
              <w:rPr>
                <w:sz w:val="22"/>
                <w:szCs w:val="22"/>
              </w:rPr>
            </w:pPr>
            <w:r w:rsidRPr="00D02993">
              <w:rPr>
                <w:sz w:val="22"/>
                <w:szCs w:val="22"/>
              </w:rPr>
              <w:t>Изъято    (погашено)</w:t>
            </w:r>
          </w:p>
        </w:tc>
        <w:tc>
          <w:tcPr>
            <w:tcW w:w="1843" w:type="dxa"/>
          </w:tcPr>
          <w:p w:rsidR="007B6FA4" w:rsidRPr="00D02993" w:rsidRDefault="007B6FA4" w:rsidP="004235DB">
            <w:pPr>
              <w:pStyle w:val="21"/>
              <w:jc w:val="center"/>
              <w:rPr>
                <w:sz w:val="22"/>
                <w:szCs w:val="22"/>
              </w:rPr>
            </w:pPr>
            <w:r w:rsidRPr="00D02993">
              <w:rPr>
                <w:sz w:val="22"/>
                <w:szCs w:val="22"/>
              </w:rPr>
              <w:t>Переоценка</w:t>
            </w:r>
            <w:r w:rsidR="004235DB" w:rsidRPr="00D02993">
              <w:rPr>
                <w:sz w:val="22"/>
                <w:szCs w:val="22"/>
              </w:rPr>
              <w:t xml:space="preserve"> и  </w:t>
            </w:r>
            <w:r w:rsidRPr="00D02993">
              <w:rPr>
                <w:sz w:val="22"/>
                <w:szCs w:val="22"/>
              </w:rPr>
              <w:t xml:space="preserve">прочие </w:t>
            </w:r>
            <w:r w:rsidR="004235DB" w:rsidRPr="00D02993">
              <w:rPr>
                <w:sz w:val="22"/>
                <w:szCs w:val="22"/>
              </w:rPr>
              <w:t>и</w:t>
            </w:r>
            <w:r w:rsidRPr="00D02993">
              <w:rPr>
                <w:sz w:val="22"/>
                <w:szCs w:val="22"/>
              </w:rPr>
              <w:t>зменения активов и обязательств</w:t>
            </w:r>
          </w:p>
        </w:tc>
        <w:tc>
          <w:tcPr>
            <w:tcW w:w="2126" w:type="dxa"/>
          </w:tcPr>
          <w:p w:rsidR="007B6FA4" w:rsidRPr="00D02993" w:rsidRDefault="007B6FA4" w:rsidP="004235DB">
            <w:pPr>
              <w:pStyle w:val="21"/>
              <w:jc w:val="center"/>
              <w:rPr>
                <w:sz w:val="22"/>
                <w:szCs w:val="22"/>
              </w:rPr>
            </w:pPr>
            <w:r w:rsidRPr="00D02993">
              <w:rPr>
                <w:sz w:val="22"/>
                <w:szCs w:val="22"/>
              </w:rPr>
              <w:t>Накоплено</w:t>
            </w:r>
          </w:p>
          <w:p w:rsidR="007B6FA4" w:rsidRPr="00D02993" w:rsidRDefault="007B6FA4" w:rsidP="004235DB">
            <w:pPr>
              <w:pStyle w:val="21"/>
              <w:jc w:val="center"/>
              <w:rPr>
                <w:sz w:val="22"/>
                <w:szCs w:val="22"/>
              </w:rPr>
            </w:pPr>
            <w:r w:rsidRPr="00D02993">
              <w:rPr>
                <w:sz w:val="22"/>
                <w:szCs w:val="22"/>
              </w:rPr>
              <w:t>на конец отчетного периода</w:t>
            </w:r>
          </w:p>
        </w:tc>
      </w:tr>
      <w:tr w:rsidR="007B6FA4" w:rsidRPr="00D02993" w:rsidTr="004235DB">
        <w:trPr>
          <w:cantSplit/>
        </w:trPr>
        <w:tc>
          <w:tcPr>
            <w:tcW w:w="1800" w:type="dxa"/>
          </w:tcPr>
          <w:p w:rsidR="007B6FA4" w:rsidRPr="00D02993" w:rsidRDefault="007B6FA4" w:rsidP="004235DB">
            <w:pPr>
              <w:pStyle w:val="21"/>
              <w:rPr>
                <w:sz w:val="22"/>
                <w:szCs w:val="22"/>
              </w:rPr>
            </w:pPr>
            <w:r w:rsidRPr="00D02993">
              <w:rPr>
                <w:sz w:val="22"/>
                <w:szCs w:val="22"/>
              </w:rPr>
              <w:t xml:space="preserve">Прямые </w:t>
            </w:r>
            <w:r w:rsidRPr="00D02993">
              <w:rPr>
                <w:sz w:val="22"/>
                <w:szCs w:val="22"/>
                <w:vertAlign w:val="superscript"/>
              </w:rPr>
              <w:footnoteReference w:customMarkFollows="1" w:id="3"/>
              <w:t>*</w:t>
            </w:r>
          </w:p>
          <w:p w:rsidR="007B6FA4" w:rsidRPr="00D02993" w:rsidRDefault="007B6FA4" w:rsidP="004235DB">
            <w:pPr>
              <w:pStyle w:val="21"/>
              <w:rPr>
                <w:sz w:val="22"/>
                <w:szCs w:val="22"/>
              </w:rPr>
            </w:pPr>
            <w:r w:rsidRPr="00D02993">
              <w:rPr>
                <w:sz w:val="22"/>
                <w:szCs w:val="22"/>
              </w:rPr>
              <w:t>инвестиции (</w:t>
            </w:r>
            <w:r w:rsidRPr="00D02993">
              <w:rPr>
                <w:sz w:val="22"/>
                <w:szCs w:val="22"/>
                <w:lang w:val="en-US"/>
              </w:rPr>
              <w:t>DM</w:t>
            </w:r>
            <w:r w:rsidRPr="00D02993">
              <w:rPr>
                <w:sz w:val="22"/>
                <w:szCs w:val="22"/>
              </w:rPr>
              <w:t>)</w:t>
            </w:r>
          </w:p>
        </w:tc>
        <w:tc>
          <w:tcPr>
            <w:tcW w:w="1440" w:type="dxa"/>
          </w:tcPr>
          <w:p w:rsidR="007B6FA4" w:rsidRPr="00D02993" w:rsidRDefault="007B6FA4" w:rsidP="004235DB">
            <w:pPr>
              <w:pStyle w:val="21"/>
              <w:rPr>
                <w:sz w:val="22"/>
                <w:szCs w:val="22"/>
              </w:rPr>
            </w:pPr>
            <w:r w:rsidRPr="00D02993">
              <w:rPr>
                <w:sz w:val="22"/>
                <w:szCs w:val="22"/>
              </w:rPr>
              <w:t>300 тыс. немецких марок</w:t>
            </w:r>
          </w:p>
        </w:tc>
        <w:tc>
          <w:tcPr>
            <w:tcW w:w="1440" w:type="dxa"/>
          </w:tcPr>
          <w:p w:rsidR="007B6FA4" w:rsidRPr="00D02993" w:rsidRDefault="007B6FA4" w:rsidP="007B6FA4">
            <w:pPr>
              <w:pStyle w:val="21"/>
              <w:ind w:firstLine="708"/>
              <w:rPr>
                <w:sz w:val="22"/>
                <w:szCs w:val="22"/>
              </w:rPr>
            </w:pPr>
            <w:r w:rsidRPr="00D02993">
              <w:rPr>
                <w:sz w:val="22"/>
                <w:szCs w:val="22"/>
              </w:rPr>
              <w:t>-</w:t>
            </w:r>
          </w:p>
        </w:tc>
        <w:tc>
          <w:tcPr>
            <w:tcW w:w="1557" w:type="dxa"/>
          </w:tcPr>
          <w:p w:rsidR="007B6FA4" w:rsidRPr="00D02993" w:rsidRDefault="007B6FA4" w:rsidP="007B6FA4">
            <w:pPr>
              <w:pStyle w:val="21"/>
              <w:ind w:firstLine="708"/>
              <w:rPr>
                <w:sz w:val="22"/>
                <w:szCs w:val="22"/>
              </w:rPr>
            </w:pPr>
            <w:r w:rsidRPr="00D02993">
              <w:rPr>
                <w:sz w:val="22"/>
                <w:szCs w:val="22"/>
              </w:rPr>
              <w:t>-</w:t>
            </w:r>
          </w:p>
        </w:tc>
        <w:tc>
          <w:tcPr>
            <w:tcW w:w="1843" w:type="dxa"/>
          </w:tcPr>
          <w:p w:rsidR="007B6FA4" w:rsidRPr="00D02993" w:rsidRDefault="007B6FA4" w:rsidP="007B6FA4">
            <w:pPr>
              <w:pStyle w:val="21"/>
              <w:ind w:firstLine="708"/>
              <w:rPr>
                <w:sz w:val="22"/>
                <w:szCs w:val="22"/>
              </w:rPr>
            </w:pPr>
            <w:r w:rsidRPr="00D02993">
              <w:rPr>
                <w:sz w:val="22"/>
                <w:szCs w:val="22"/>
              </w:rPr>
              <w:t>-</w:t>
            </w:r>
          </w:p>
        </w:tc>
        <w:tc>
          <w:tcPr>
            <w:tcW w:w="2126" w:type="dxa"/>
          </w:tcPr>
          <w:p w:rsidR="007B6FA4" w:rsidRPr="00D02993" w:rsidRDefault="007B6FA4" w:rsidP="004235DB">
            <w:pPr>
              <w:pStyle w:val="21"/>
              <w:rPr>
                <w:sz w:val="22"/>
                <w:szCs w:val="22"/>
              </w:rPr>
            </w:pPr>
            <w:r w:rsidRPr="00D02993">
              <w:rPr>
                <w:sz w:val="22"/>
                <w:szCs w:val="22"/>
              </w:rPr>
              <w:t>300 тыс. немецких марок</w:t>
            </w:r>
          </w:p>
        </w:tc>
      </w:tr>
      <w:tr w:rsidR="007B6FA4" w:rsidRPr="00D02993" w:rsidTr="004235DB">
        <w:trPr>
          <w:cantSplit/>
        </w:trPr>
        <w:tc>
          <w:tcPr>
            <w:tcW w:w="1800" w:type="dxa"/>
          </w:tcPr>
          <w:p w:rsidR="007B6FA4" w:rsidRPr="00D02993" w:rsidRDefault="007B6FA4" w:rsidP="004235DB">
            <w:pPr>
              <w:pStyle w:val="21"/>
              <w:rPr>
                <w:sz w:val="22"/>
                <w:szCs w:val="22"/>
              </w:rPr>
            </w:pPr>
            <w:r w:rsidRPr="00D02993">
              <w:rPr>
                <w:sz w:val="22"/>
                <w:szCs w:val="22"/>
              </w:rPr>
              <w:t>Курс (условный)</w:t>
            </w:r>
          </w:p>
        </w:tc>
        <w:tc>
          <w:tcPr>
            <w:tcW w:w="1440" w:type="dxa"/>
          </w:tcPr>
          <w:p w:rsidR="007B6FA4" w:rsidRPr="00D02993" w:rsidRDefault="007B6FA4" w:rsidP="004235DB">
            <w:pPr>
              <w:pStyle w:val="21"/>
              <w:rPr>
                <w:sz w:val="22"/>
                <w:szCs w:val="22"/>
              </w:rPr>
            </w:pPr>
            <w:r w:rsidRPr="00D02993">
              <w:rPr>
                <w:sz w:val="22"/>
                <w:szCs w:val="22"/>
              </w:rPr>
              <w:t xml:space="preserve">1,5 </w:t>
            </w:r>
            <w:r w:rsidRPr="00D02993">
              <w:rPr>
                <w:sz w:val="22"/>
                <w:szCs w:val="22"/>
                <w:lang w:val="en-US"/>
              </w:rPr>
              <w:t>DM</w:t>
            </w:r>
            <w:r w:rsidRPr="00D02993">
              <w:rPr>
                <w:sz w:val="22"/>
                <w:szCs w:val="22"/>
              </w:rPr>
              <w:t xml:space="preserve"> = 1$</w:t>
            </w:r>
          </w:p>
        </w:tc>
        <w:tc>
          <w:tcPr>
            <w:tcW w:w="1440" w:type="dxa"/>
          </w:tcPr>
          <w:p w:rsidR="007B6FA4" w:rsidRPr="00D02993" w:rsidRDefault="007B6FA4" w:rsidP="007B6FA4">
            <w:pPr>
              <w:pStyle w:val="21"/>
              <w:ind w:firstLine="708"/>
              <w:rPr>
                <w:sz w:val="22"/>
                <w:szCs w:val="22"/>
              </w:rPr>
            </w:pPr>
          </w:p>
        </w:tc>
        <w:tc>
          <w:tcPr>
            <w:tcW w:w="1557" w:type="dxa"/>
          </w:tcPr>
          <w:p w:rsidR="007B6FA4" w:rsidRPr="00D02993" w:rsidRDefault="007B6FA4" w:rsidP="007B6FA4">
            <w:pPr>
              <w:pStyle w:val="21"/>
              <w:ind w:firstLine="708"/>
              <w:rPr>
                <w:sz w:val="22"/>
                <w:szCs w:val="22"/>
              </w:rPr>
            </w:pPr>
          </w:p>
        </w:tc>
        <w:tc>
          <w:tcPr>
            <w:tcW w:w="1843" w:type="dxa"/>
          </w:tcPr>
          <w:p w:rsidR="007B6FA4" w:rsidRPr="00D02993" w:rsidRDefault="007B6FA4" w:rsidP="007B6FA4">
            <w:pPr>
              <w:pStyle w:val="21"/>
              <w:ind w:firstLine="708"/>
              <w:rPr>
                <w:sz w:val="22"/>
                <w:szCs w:val="22"/>
              </w:rPr>
            </w:pPr>
          </w:p>
        </w:tc>
        <w:tc>
          <w:tcPr>
            <w:tcW w:w="2126" w:type="dxa"/>
          </w:tcPr>
          <w:p w:rsidR="007B6FA4" w:rsidRPr="00D02993" w:rsidRDefault="007B6FA4" w:rsidP="004235DB">
            <w:pPr>
              <w:pStyle w:val="21"/>
              <w:rPr>
                <w:sz w:val="22"/>
                <w:szCs w:val="22"/>
              </w:rPr>
            </w:pPr>
            <w:r w:rsidRPr="00D02993">
              <w:rPr>
                <w:sz w:val="22"/>
                <w:szCs w:val="22"/>
              </w:rPr>
              <w:t xml:space="preserve">2 </w:t>
            </w:r>
            <w:r w:rsidRPr="00D02993">
              <w:rPr>
                <w:sz w:val="22"/>
                <w:szCs w:val="22"/>
                <w:lang w:val="en-US"/>
              </w:rPr>
              <w:t>DM</w:t>
            </w:r>
            <w:r w:rsidRPr="00D02993">
              <w:rPr>
                <w:sz w:val="22"/>
                <w:szCs w:val="22"/>
              </w:rPr>
              <w:t xml:space="preserve"> = 1$</w:t>
            </w:r>
          </w:p>
        </w:tc>
      </w:tr>
      <w:tr w:rsidR="007B6FA4" w:rsidRPr="00D02993" w:rsidTr="004235DB">
        <w:trPr>
          <w:cantSplit/>
        </w:trPr>
        <w:tc>
          <w:tcPr>
            <w:tcW w:w="1800" w:type="dxa"/>
          </w:tcPr>
          <w:p w:rsidR="007B6FA4" w:rsidRPr="00D02993" w:rsidRDefault="007B6FA4" w:rsidP="004235DB">
            <w:pPr>
              <w:pStyle w:val="21"/>
              <w:rPr>
                <w:sz w:val="22"/>
                <w:szCs w:val="22"/>
              </w:rPr>
            </w:pPr>
            <w:r w:rsidRPr="00D02993">
              <w:rPr>
                <w:sz w:val="22"/>
                <w:szCs w:val="22"/>
              </w:rPr>
              <w:t>Прямые инвестиции ($)</w:t>
            </w:r>
          </w:p>
        </w:tc>
        <w:tc>
          <w:tcPr>
            <w:tcW w:w="1440" w:type="dxa"/>
          </w:tcPr>
          <w:p w:rsidR="007B6FA4" w:rsidRPr="00D02993" w:rsidRDefault="007B6FA4" w:rsidP="004235DB">
            <w:pPr>
              <w:pStyle w:val="21"/>
              <w:rPr>
                <w:sz w:val="22"/>
                <w:szCs w:val="22"/>
              </w:rPr>
            </w:pPr>
            <w:r w:rsidRPr="00D02993">
              <w:rPr>
                <w:sz w:val="22"/>
                <w:szCs w:val="22"/>
              </w:rPr>
              <w:t>200</w:t>
            </w:r>
          </w:p>
        </w:tc>
        <w:tc>
          <w:tcPr>
            <w:tcW w:w="1440" w:type="dxa"/>
          </w:tcPr>
          <w:p w:rsidR="007B6FA4" w:rsidRPr="00D02993" w:rsidRDefault="007B6FA4" w:rsidP="007B6FA4">
            <w:pPr>
              <w:pStyle w:val="21"/>
              <w:ind w:firstLine="708"/>
              <w:rPr>
                <w:sz w:val="22"/>
                <w:szCs w:val="22"/>
              </w:rPr>
            </w:pPr>
            <w:r w:rsidRPr="00D02993">
              <w:rPr>
                <w:sz w:val="22"/>
                <w:szCs w:val="22"/>
              </w:rPr>
              <w:t>-</w:t>
            </w:r>
          </w:p>
        </w:tc>
        <w:tc>
          <w:tcPr>
            <w:tcW w:w="1557" w:type="dxa"/>
          </w:tcPr>
          <w:p w:rsidR="007B6FA4" w:rsidRPr="00D02993" w:rsidRDefault="007B6FA4" w:rsidP="007B6FA4">
            <w:pPr>
              <w:pStyle w:val="21"/>
              <w:ind w:firstLine="708"/>
              <w:rPr>
                <w:sz w:val="22"/>
                <w:szCs w:val="22"/>
              </w:rPr>
            </w:pPr>
            <w:r w:rsidRPr="00D02993">
              <w:rPr>
                <w:sz w:val="22"/>
                <w:szCs w:val="22"/>
              </w:rPr>
              <w:t>-</w:t>
            </w:r>
          </w:p>
        </w:tc>
        <w:tc>
          <w:tcPr>
            <w:tcW w:w="1843" w:type="dxa"/>
          </w:tcPr>
          <w:p w:rsidR="007B6FA4" w:rsidRPr="00D02993" w:rsidRDefault="007B6FA4" w:rsidP="007B6FA4">
            <w:pPr>
              <w:pStyle w:val="21"/>
              <w:ind w:firstLine="708"/>
              <w:rPr>
                <w:sz w:val="22"/>
                <w:szCs w:val="22"/>
              </w:rPr>
            </w:pPr>
            <w:r w:rsidRPr="00D02993">
              <w:rPr>
                <w:sz w:val="22"/>
                <w:szCs w:val="22"/>
              </w:rPr>
              <w:t>-50</w:t>
            </w:r>
          </w:p>
        </w:tc>
        <w:tc>
          <w:tcPr>
            <w:tcW w:w="2126" w:type="dxa"/>
          </w:tcPr>
          <w:p w:rsidR="007B6FA4" w:rsidRPr="00D02993" w:rsidRDefault="007B6FA4" w:rsidP="004235DB">
            <w:pPr>
              <w:pStyle w:val="21"/>
              <w:rPr>
                <w:sz w:val="22"/>
                <w:szCs w:val="22"/>
              </w:rPr>
            </w:pPr>
            <w:r w:rsidRPr="00D02993">
              <w:rPr>
                <w:sz w:val="22"/>
                <w:szCs w:val="22"/>
              </w:rPr>
              <w:t>150 тыс. долларов</w:t>
            </w:r>
          </w:p>
        </w:tc>
      </w:tr>
    </w:tbl>
    <w:p w:rsidR="004235DB" w:rsidRPr="00D02993" w:rsidRDefault="004235DB" w:rsidP="004235DB">
      <w:pPr>
        <w:pStyle w:val="21"/>
        <w:ind w:firstLine="708"/>
        <w:rPr>
          <w:sz w:val="28"/>
          <w:szCs w:val="28"/>
        </w:rPr>
      </w:pPr>
    </w:p>
    <w:p w:rsidR="007B6FA4" w:rsidRPr="00D02993" w:rsidRDefault="007B6FA4" w:rsidP="004235DB">
      <w:pPr>
        <w:pStyle w:val="21"/>
        <w:ind w:firstLine="708"/>
        <w:rPr>
          <w:sz w:val="28"/>
          <w:szCs w:val="28"/>
        </w:rPr>
      </w:pPr>
      <w:r w:rsidRPr="00D02993">
        <w:rPr>
          <w:sz w:val="28"/>
          <w:szCs w:val="28"/>
        </w:rPr>
        <w:t>переоценка акций в результате изменения рыночных цен (аналогично примеру 2, при этом курс акции проставляется вместо обменного курса валюты);</w:t>
      </w:r>
    </w:p>
    <w:p w:rsidR="007B6FA4" w:rsidRPr="00D02993" w:rsidRDefault="007B6FA4" w:rsidP="007B6FA4">
      <w:pPr>
        <w:pStyle w:val="21"/>
        <w:ind w:firstLine="708"/>
        <w:rPr>
          <w:sz w:val="28"/>
          <w:szCs w:val="28"/>
        </w:rPr>
      </w:pPr>
      <w:r w:rsidRPr="00D02993">
        <w:rPr>
          <w:sz w:val="28"/>
          <w:szCs w:val="28"/>
        </w:rPr>
        <w:t xml:space="preserve">списание кредитором безнадежной задолженности с отнесением ее на убытки; </w:t>
      </w:r>
    </w:p>
    <w:p w:rsidR="007B6FA4" w:rsidRPr="00D02993" w:rsidRDefault="007B6FA4" w:rsidP="007B6FA4">
      <w:pPr>
        <w:pStyle w:val="21"/>
        <w:ind w:firstLine="708"/>
        <w:rPr>
          <w:sz w:val="28"/>
          <w:szCs w:val="28"/>
        </w:rPr>
      </w:pPr>
      <w:r w:rsidRPr="00D02993">
        <w:rPr>
          <w:sz w:val="28"/>
          <w:szCs w:val="28"/>
        </w:rPr>
        <w:t xml:space="preserve">добавочный капитал организации, образуемый в результате переоценки стоимости </w:t>
      </w:r>
      <w:proofErr w:type="spellStart"/>
      <w:r w:rsidRPr="00D02993">
        <w:rPr>
          <w:sz w:val="28"/>
          <w:szCs w:val="28"/>
        </w:rPr>
        <w:t>внеоборотных</w:t>
      </w:r>
      <w:proofErr w:type="spellEnd"/>
      <w:r w:rsidRPr="00D02993">
        <w:rPr>
          <w:sz w:val="28"/>
          <w:szCs w:val="28"/>
        </w:rPr>
        <w:t xml:space="preserve"> активов (порядок образования добавочного капитала регулируется соответствующими нормативными актами);</w:t>
      </w:r>
    </w:p>
    <w:p w:rsidR="007B6FA4" w:rsidRPr="00D02993" w:rsidRDefault="007B6FA4" w:rsidP="007B6FA4">
      <w:pPr>
        <w:pStyle w:val="21"/>
        <w:ind w:firstLine="708"/>
        <w:rPr>
          <w:sz w:val="28"/>
          <w:szCs w:val="28"/>
        </w:rPr>
      </w:pPr>
      <w:r w:rsidRPr="00D02993">
        <w:rPr>
          <w:sz w:val="28"/>
          <w:szCs w:val="28"/>
        </w:rPr>
        <w:t xml:space="preserve"> сумма разницы между продажной и номинальной стоимостью акций, вырученной при реализации их по цене, превышающей номинальную стоимость, при формировании уставного капитала акционерных обществ (учреждение общества, увеличение уставного капитала путем дополнительной эмиссии акций, повышение номинальной стоимости акций). </w:t>
      </w:r>
    </w:p>
    <w:p w:rsidR="007B6FA4" w:rsidRPr="00D02993" w:rsidRDefault="00330055" w:rsidP="007B6FA4">
      <w:pPr>
        <w:pStyle w:val="21"/>
        <w:ind w:firstLine="708"/>
        <w:rPr>
          <w:sz w:val="28"/>
          <w:szCs w:val="28"/>
        </w:rPr>
      </w:pPr>
      <w:r w:rsidRPr="00D02993">
        <w:rPr>
          <w:sz w:val="28"/>
          <w:szCs w:val="28"/>
        </w:rPr>
        <w:t>13</w:t>
      </w:r>
      <w:r w:rsidR="007B6FA4" w:rsidRPr="00D02993">
        <w:rPr>
          <w:sz w:val="28"/>
          <w:szCs w:val="28"/>
        </w:rPr>
        <w:t xml:space="preserve">. </w:t>
      </w:r>
      <w:r w:rsidR="007B6FA4" w:rsidRPr="00D02993">
        <w:rPr>
          <w:b/>
          <w:bCs/>
          <w:sz w:val="28"/>
          <w:szCs w:val="28"/>
        </w:rPr>
        <w:t xml:space="preserve">По строке 010 </w:t>
      </w:r>
      <w:r w:rsidR="007B6FA4" w:rsidRPr="00D02993">
        <w:rPr>
          <w:sz w:val="28"/>
          <w:szCs w:val="28"/>
        </w:rPr>
        <w:t xml:space="preserve">приводится </w:t>
      </w:r>
      <w:r w:rsidR="007B6FA4" w:rsidRPr="00D02993">
        <w:rPr>
          <w:b/>
          <w:bCs/>
          <w:sz w:val="28"/>
          <w:szCs w:val="28"/>
        </w:rPr>
        <w:t>общий объем инвестиций</w:t>
      </w:r>
      <w:r w:rsidR="007B6FA4" w:rsidRPr="00D02993">
        <w:rPr>
          <w:sz w:val="28"/>
          <w:szCs w:val="28"/>
        </w:rPr>
        <w:t xml:space="preserve"> из-за рубежа.</w:t>
      </w:r>
    </w:p>
    <w:p w:rsidR="007B6FA4" w:rsidRPr="00D02993" w:rsidRDefault="00552B3E" w:rsidP="007B6FA4">
      <w:pPr>
        <w:pStyle w:val="21"/>
        <w:ind w:firstLine="708"/>
        <w:rPr>
          <w:sz w:val="28"/>
          <w:szCs w:val="28"/>
        </w:rPr>
      </w:pPr>
      <w:r w:rsidRPr="00D02993">
        <w:rPr>
          <w:b/>
          <w:bCs/>
          <w:sz w:val="28"/>
          <w:szCs w:val="28"/>
        </w:rPr>
        <w:t xml:space="preserve">      </w:t>
      </w:r>
      <w:r w:rsidR="007B6FA4" w:rsidRPr="00D02993">
        <w:rPr>
          <w:b/>
          <w:bCs/>
          <w:sz w:val="28"/>
          <w:szCs w:val="28"/>
        </w:rPr>
        <w:t>Сумма строк 020, 030 и  040</w:t>
      </w:r>
      <w:r w:rsidR="007B6FA4" w:rsidRPr="00D02993">
        <w:rPr>
          <w:sz w:val="28"/>
          <w:szCs w:val="28"/>
        </w:rPr>
        <w:t xml:space="preserve"> </w:t>
      </w:r>
      <w:r w:rsidR="007B6FA4" w:rsidRPr="00D02993">
        <w:rPr>
          <w:b/>
          <w:sz w:val="28"/>
          <w:szCs w:val="28"/>
        </w:rPr>
        <w:t>должна давать итог по</w:t>
      </w:r>
      <w:r w:rsidR="007B6FA4" w:rsidRPr="00D02993">
        <w:rPr>
          <w:sz w:val="28"/>
          <w:szCs w:val="28"/>
        </w:rPr>
        <w:t xml:space="preserve"> </w:t>
      </w:r>
      <w:r w:rsidR="007B6FA4" w:rsidRPr="00D02993">
        <w:rPr>
          <w:b/>
          <w:sz w:val="28"/>
          <w:szCs w:val="28"/>
        </w:rPr>
        <w:t>строке</w:t>
      </w:r>
      <w:r w:rsidR="007B6FA4" w:rsidRPr="00D02993">
        <w:rPr>
          <w:sz w:val="28"/>
          <w:szCs w:val="28"/>
        </w:rPr>
        <w:t xml:space="preserve"> </w:t>
      </w:r>
      <w:r w:rsidR="007B6FA4" w:rsidRPr="00D02993">
        <w:rPr>
          <w:b/>
          <w:bCs/>
          <w:sz w:val="28"/>
          <w:szCs w:val="28"/>
        </w:rPr>
        <w:t>010</w:t>
      </w:r>
      <w:r w:rsidR="007B6FA4" w:rsidRPr="00D02993">
        <w:rPr>
          <w:sz w:val="28"/>
          <w:szCs w:val="28"/>
        </w:rPr>
        <w:t>.</w:t>
      </w:r>
    </w:p>
    <w:p w:rsidR="007B6FA4" w:rsidRPr="00D02993" w:rsidRDefault="00330055" w:rsidP="007B6FA4">
      <w:pPr>
        <w:pStyle w:val="21"/>
        <w:ind w:firstLine="708"/>
        <w:rPr>
          <w:sz w:val="28"/>
          <w:szCs w:val="28"/>
        </w:rPr>
      </w:pPr>
      <w:r w:rsidRPr="00D02993">
        <w:rPr>
          <w:sz w:val="28"/>
          <w:szCs w:val="28"/>
        </w:rPr>
        <w:t>14</w:t>
      </w:r>
      <w:r w:rsidR="007B6FA4" w:rsidRPr="00D02993">
        <w:rPr>
          <w:sz w:val="28"/>
          <w:szCs w:val="28"/>
        </w:rPr>
        <w:t xml:space="preserve">. </w:t>
      </w:r>
      <w:r w:rsidR="007B6FA4" w:rsidRPr="00D02993">
        <w:rPr>
          <w:b/>
          <w:sz w:val="28"/>
          <w:szCs w:val="28"/>
        </w:rPr>
        <w:t>По</w:t>
      </w:r>
      <w:r w:rsidR="007B6FA4" w:rsidRPr="00D02993">
        <w:rPr>
          <w:sz w:val="28"/>
          <w:szCs w:val="28"/>
        </w:rPr>
        <w:t xml:space="preserve"> </w:t>
      </w:r>
      <w:r w:rsidR="007B6FA4" w:rsidRPr="00D02993">
        <w:rPr>
          <w:b/>
          <w:sz w:val="28"/>
          <w:szCs w:val="28"/>
        </w:rPr>
        <w:t>строке</w:t>
      </w:r>
      <w:r w:rsidR="007B6FA4" w:rsidRPr="00D02993">
        <w:rPr>
          <w:sz w:val="28"/>
          <w:szCs w:val="28"/>
        </w:rPr>
        <w:t xml:space="preserve"> </w:t>
      </w:r>
      <w:r w:rsidR="007B6FA4" w:rsidRPr="00D02993">
        <w:rPr>
          <w:b/>
          <w:bCs/>
          <w:sz w:val="28"/>
          <w:szCs w:val="28"/>
        </w:rPr>
        <w:t xml:space="preserve">020 </w:t>
      </w:r>
      <w:r w:rsidR="007B6FA4" w:rsidRPr="00D02993">
        <w:rPr>
          <w:sz w:val="28"/>
          <w:szCs w:val="28"/>
        </w:rPr>
        <w:t xml:space="preserve">указываются </w:t>
      </w:r>
      <w:r w:rsidR="007B6FA4" w:rsidRPr="00D02993">
        <w:rPr>
          <w:b/>
          <w:bCs/>
          <w:sz w:val="28"/>
          <w:szCs w:val="28"/>
        </w:rPr>
        <w:t>прямые инвестиции</w:t>
      </w:r>
      <w:r w:rsidR="007B6FA4" w:rsidRPr="00D02993">
        <w:rPr>
          <w:sz w:val="28"/>
          <w:szCs w:val="28"/>
        </w:rPr>
        <w:t xml:space="preserve">. </w:t>
      </w:r>
    </w:p>
    <w:p w:rsidR="007B6FA4" w:rsidRPr="00D02993" w:rsidRDefault="007B6FA4" w:rsidP="007B6FA4">
      <w:pPr>
        <w:pStyle w:val="21"/>
        <w:ind w:firstLine="708"/>
        <w:rPr>
          <w:sz w:val="28"/>
          <w:szCs w:val="28"/>
        </w:rPr>
      </w:pPr>
      <w:r w:rsidRPr="00D02993">
        <w:rPr>
          <w:b/>
          <w:sz w:val="28"/>
          <w:szCs w:val="28"/>
        </w:rPr>
        <w:t xml:space="preserve">Прямые </w:t>
      </w:r>
      <w:r w:rsidRPr="00D02993">
        <w:rPr>
          <w:sz w:val="28"/>
          <w:szCs w:val="28"/>
        </w:rPr>
        <w:t xml:space="preserve">инвестиции отражают долговременную экономическую заинтересованность хозяйственной единицы-резидента одной страны (прямой инвестор) в деятельности хозяйственной единицы-резидента другой страны (организация прямого инвестирования). </w:t>
      </w:r>
    </w:p>
    <w:p w:rsidR="007B6FA4" w:rsidRPr="00D02993" w:rsidRDefault="007B6FA4" w:rsidP="007B6FA4">
      <w:pPr>
        <w:pStyle w:val="21"/>
        <w:ind w:firstLine="708"/>
        <w:rPr>
          <w:sz w:val="28"/>
          <w:szCs w:val="28"/>
        </w:rPr>
      </w:pPr>
      <w:r w:rsidRPr="00D02993">
        <w:rPr>
          <w:sz w:val="28"/>
          <w:szCs w:val="28"/>
        </w:rPr>
        <w:lastRenderedPageBreak/>
        <w:t xml:space="preserve">В соответствии с Федеральным законом от 9 июля </w:t>
      </w:r>
      <w:smartTag w:uri="urn:schemas-microsoft-com:office:smarttags" w:element="metricconverter">
        <w:smartTagPr>
          <w:attr w:name="ProductID" w:val="1999 г"/>
        </w:smartTagPr>
        <w:r w:rsidRPr="00D02993">
          <w:rPr>
            <w:sz w:val="28"/>
            <w:szCs w:val="28"/>
          </w:rPr>
          <w:t>1999 г</w:t>
        </w:r>
      </w:smartTag>
      <w:r w:rsidRPr="00D02993">
        <w:rPr>
          <w:sz w:val="28"/>
          <w:szCs w:val="28"/>
        </w:rPr>
        <w:t xml:space="preserve">. № 160-ФЗ «Об </w:t>
      </w:r>
      <w:proofErr w:type="gramStart"/>
      <w:r w:rsidRPr="00D02993">
        <w:rPr>
          <w:sz w:val="28"/>
          <w:szCs w:val="28"/>
        </w:rPr>
        <w:t>иностранных  инвестициях</w:t>
      </w:r>
      <w:proofErr w:type="gramEnd"/>
      <w:r w:rsidRPr="00D02993">
        <w:rPr>
          <w:sz w:val="28"/>
          <w:szCs w:val="28"/>
        </w:rPr>
        <w:t xml:space="preserve"> в Российской Федерации»  в    </w:t>
      </w:r>
      <w:r w:rsidR="002A2C09">
        <w:rPr>
          <w:sz w:val="28"/>
          <w:szCs w:val="28"/>
        </w:rPr>
        <w:t>республиканском</w:t>
      </w:r>
      <w:r w:rsidRPr="00D02993">
        <w:rPr>
          <w:sz w:val="28"/>
          <w:szCs w:val="28"/>
        </w:rPr>
        <w:t xml:space="preserve"> наблюдении  по  форме  № </w:t>
      </w:r>
      <w:r w:rsidR="00330055" w:rsidRPr="00D02993">
        <w:rPr>
          <w:sz w:val="28"/>
          <w:szCs w:val="28"/>
        </w:rPr>
        <w:t xml:space="preserve">1-инвест-рег </w:t>
      </w:r>
      <w:r w:rsidRPr="00D02993">
        <w:rPr>
          <w:sz w:val="28"/>
          <w:szCs w:val="28"/>
        </w:rPr>
        <w:t xml:space="preserve">в прямые инвестиции включаются инвестиции, созданные прямыми инвесторами, т.е. юридическими и физическими лицами, полностью владеющими организацией или контролирующими не менее 10% акций или уставного (складочного) капитала организации, что дает право на участие в управлении организацией. </w:t>
      </w:r>
    </w:p>
    <w:p w:rsidR="007B6FA4" w:rsidRPr="00D02993" w:rsidRDefault="007B6FA4" w:rsidP="007B6FA4">
      <w:pPr>
        <w:pStyle w:val="21"/>
        <w:ind w:firstLine="708"/>
        <w:rPr>
          <w:bCs/>
          <w:sz w:val="28"/>
          <w:szCs w:val="28"/>
        </w:rPr>
      </w:pPr>
      <w:r w:rsidRPr="00D02993">
        <w:rPr>
          <w:bCs/>
          <w:sz w:val="28"/>
          <w:szCs w:val="28"/>
        </w:rPr>
        <w:t xml:space="preserve">Согласно </w:t>
      </w:r>
      <w:r w:rsidR="007A34AE" w:rsidRPr="00D02993">
        <w:rPr>
          <w:bCs/>
          <w:sz w:val="28"/>
          <w:szCs w:val="28"/>
        </w:rPr>
        <w:t>Руководству по платежному балансу и международной инвестиционной позиции</w:t>
      </w:r>
      <w:r w:rsidRPr="00D02993">
        <w:rPr>
          <w:bCs/>
          <w:sz w:val="28"/>
          <w:szCs w:val="28"/>
        </w:rPr>
        <w:t xml:space="preserve"> к прямым инвестициям относится не только исходная операция по вложению капитала, но и все последующие операции между прямым инвестором и организацией.</w:t>
      </w:r>
    </w:p>
    <w:p w:rsidR="007B6FA4" w:rsidRPr="00D02993" w:rsidRDefault="007B6FA4" w:rsidP="007B6FA4">
      <w:pPr>
        <w:pStyle w:val="21"/>
        <w:ind w:firstLine="708"/>
        <w:rPr>
          <w:sz w:val="28"/>
          <w:szCs w:val="28"/>
        </w:rPr>
      </w:pPr>
      <w:r w:rsidRPr="00D02993">
        <w:rPr>
          <w:b/>
          <w:bCs/>
          <w:sz w:val="28"/>
          <w:szCs w:val="28"/>
        </w:rPr>
        <w:t>В строке 020</w:t>
      </w:r>
      <w:r w:rsidRPr="00D02993">
        <w:rPr>
          <w:sz w:val="28"/>
          <w:szCs w:val="28"/>
        </w:rPr>
        <w:t xml:space="preserve"> отражается:</w:t>
      </w:r>
    </w:p>
    <w:p w:rsidR="007B6FA4" w:rsidRPr="00D02993" w:rsidRDefault="007B6FA4" w:rsidP="007B6FA4">
      <w:pPr>
        <w:pStyle w:val="21"/>
        <w:ind w:firstLine="708"/>
        <w:rPr>
          <w:sz w:val="28"/>
          <w:szCs w:val="28"/>
        </w:rPr>
      </w:pPr>
      <w:r w:rsidRPr="00D02993">
        <w:rPr>
          <w:sz w:val="28"/>
          <w:szCs w:val="28"/>
        </w:rPr>
        <w:t>- часть капитала, которая определяется как сумма уставного (складочного) капитала, добавочного капитала, резервного фонда и других видов собственных средств организаций, фактически внесенная зарубежными совладельцами организации; покупка (продажа) акций и паев, составляющих не менее 10% уставного (складочного) капитала организации; реинвестирование;</w:t>
      </w:r>
    </w:p>
    <w:p w:rsidR="007B6FA4" w:rsidRPr="00D02993" w:rsidRDefault="007B6FA4" w:rsidP="007B6FA4">
      <w:pPr>
        <w:pStyle w:val="21"/>
        <w:ind w:firstLine="708"/>
        <w:rPr>
          <w:sz w:val="28"/>
          <w:szCs w:val="28"/>
        </w:rPr>
      </w:pPr>
      <w:r w:rsidRPr="00D02993">
        <w:rPr>
          <w:sz w:val="28"/>
          <w:szCs w:val="28"/>
        </w:rPr>
        <w:t xml:space="preserve">- финансовая аренда (лизинг) – совокупность экономических и правовых отношений, возникающих в связи с реализацией договора лизинга, в том числе с приобретением предмета лизинга. Финансовая аренда (лизинг) регулируется Гражданским  кодексом Российской Федерации (статьи 665-670) и Федеральным  законом от 29 октября  </w:t>
      </w:r>
      <w:smartTag w:uri="urn:schemas-microsoft-com:office:smarttags" w:element="metricconverter">
        <w:smartTagPr>
          <w:attr w:name="ProductID" w:val="1998 г"/>
        </w:smartTagPr>
        <w:r w:rsidRPr="00D02993">
          <w:rPr>
            <w:sz w:val="28"/>
            <w:szCs w:val="28"/>
          </w:rPr>
          <w:t>1998 г</w:t>
        </w:r>
      </w:smartTag>
      <w:r w:rsidRPr="00D02993">
        <w:rPr>
          <w:sz w:val="28"/>
          <w:szCs w:val="28"/>
        </w:rPr>
        <w:t xml:space="preserve">. № 164-ФЗ «О финансовой аренде (лизинге)». </w:t>
      </w:r>
    </w:p>
    <w:p w:rsidR="007B6FA4" w:rsidRPr="00D02993" w:rsidRDefault="007B6FA4" w:rsidP="007B6FA4">
      <w:pPr>
        <w:pStyle w:val="21"/>
        <w:ind w:firstLine="708"/>
        <w:rPr>
          <w:sz w:val="28"/>
          <w:szCs w:val="28"/>
        </w:rPr>
      </w:pPr>
      <w:r w:rsidRPr="00D02993">
        <w:rPr>
          <w:sz w:val="28"/>
          <w:szCs w:val="28"/>
        </w:rPr>
        <w:t>Для целей заполнения формы № 1-</w:t>
      </w:r>
      <w:r w:rsidR="00330055" w:rsidRPr="00D02993">
        <w:rPr>
          <w:sz w:val="28"/>
          <w:szCs w:val="28"/>
        </w:rPr>
        <w:t>инвест-рег</w:t>
      </w:r>
      <w:r w:rsidRPr="00D02993">
        <w:rPr>
          <w:sz w:val="28"/>
          <w:szCs w:val="28"/>
        </w:rPr>
        <w:t xml:space="preserve"> в соответствии с Федеральным законом от  9 июля  </w:t>
      </w:r>
      <w:smartTag w:uri="urn:schemas-microsoft-com:office:smarttags" w:element="metricconverter">
        <w:smartTagPr>
          <w:attr w:name="ProductID" w:val="1999 г"/>
        </w:smartTagPr>
        <w:r w:rsidRPr="00D02993">
          <w:rPr>
            <w:sz w:val="28"/>
            <w:szCs w:val="28"/>
          </w:rPr>
          <w:t>1999 г</w:t>
        </w:r>
      </w:smartTag>
      <w:r w:rsidRPr="00D02993">
        <w:rPr>
          <w:sz w:val="28"/>
          <w:szCs w:val="28"/>
        </w:rPr>
        <w:t>. № 160-ФЗ «Об иностранных инвестициях в Российской Федерации» под финансовой арендой (лизингом) следует понимать иностранные инвестиции в виде осуществления на территории Российской Федерации иностранным инвестором как арендодателем финансовой аренды (лизинга) оборудования, указанного в разделах Х</w:t>
      </w:r>
      <w:r w:rsidRPr="00D02993">
        <w:rPr>
          <w:sz w:val="28"/>
          <w:szCs w:val="28"/>
          <w:lang w:val="en-US"/>
        </w:rPr>
        <w:t>YI</w:t>
      </w:r>
      <w:r w:rsidRPr="00D02993">
        <w:rPr>
          <w:sz w:val="28"/>
          <w:szCs w:val="28"/>
        </w:rPr>
        <w:t xml:space="preserve"> и Х</w:t>
      </w:r>
      <w:r w:rsidRPr="00D02993">
        <w:rPr>
          <w:sz w:val="28"/>
          <w:szCs w:val="28"/>
          <w:lang w:val="en-US"/>
        </w:rPr>
        <w:t>YII</w:t>
      </w:r>
      <w:r w:rsidRPr="00D02993">
        <w:rPr>
          <w:sz w:val="28"/>
          <w:szCs w:val="28"/>
        </w:rPr>
        <w:t xml:space="preserve"> </w:t>
      </w:r>
      <w:r w:rsidR="00BB1A90" w:rsidRPr="00D02993">
        <w:rPr>
          <w:sz w:val="28"/>
          <w:szCs w:val="28"/>
        </w:rPr>
        <w:t xml:space="preserve">единой </w:t>
      </w:r>
      <w:r w:rsidRPr="00D02993">
        <w:rPr>
          <w:sz w:val="28"/>
          <w:szCs w:val="28"/>
        </w:rPr>
        <w:t xml:space="preserve">Товарной номенклатуры внешнеэкономической деятельности </w:t>
      </w:r>
      <w:r w:rsidR="00BB1A90" w:rsidRPr="00D02993">
        <w:rPr>
          <w:sz w:val="28"/>
          <w:szCs w:val="28"/>
        </w:rPr>
        <w:t xml:space="preserve">Таможенного союза в рамках </w:t>
      </w:r>
      <w:proofErr w:type="spellStart"/>
      <w:r w:rsidR="00BB1A90" w:rsidRPr="00D02993">
        <w:rPr>
          <w:sz w:val="28"/>
          <w:szCs w:val="28"/>
        </w:rPr>
        <w:t>ЕврАзЭС</w:t>
      </w:r>
      <w:proofErr w:type="spellEnd"/>
      <w:r w:rsidRPr="00D02993">
        <w:rPr>
          <w:sz w:val="28"/>
          <w:szCs w:val="28"/>
        </w:rPr>
        <w:t xml:space="preserve">, таможенной стоимостью не менее 1 млн. рублей. </w:t>
      </w:r>
    </w:p>
    <w:p w:rsidR="007B6FA4" w:rsidRPr="00D02993" w:rsidRDefault="007B6FA4" w:rsidP="007B6FA4">
      <w:pPr>
        <w:pStyle w:val="21"/>
        <w:ind w:firstLine="708"/>
        <w:rPr>
          <w:sz w:val="28"/>
          <w:szCs w:val="28"/>
        </w:rPr>
      </w:pPr>
      <w:r w:rsidRPr="00D02993">
        <w:rPr>
          <w:sz w:val="28"/>
          <w:szCs w:val="28"/>
        </w:rPr>
        <w:t>Финансовая аренда (лизинг) отражается в форме следующим образом. Общая сумма (по рыночной стоимости) возмещения инвестиционных затрат (издержек) (без выплаты вознаграждения) отражается как накопление (графы 1 и 2) (если инвестирование происходило в предыдущие периоды) или поступление инвестиционных обязательств (графы 3, 4) (если инвестирование осуществлялось в отчетном периоде). Суммы лизинговых платежей по основному долгу – как погашение (графы 5 и 6). Процентные платежи отражаются как доход от прямых инвестиций (графы 3 и 4).</w:t>
      </w:r>
    </w:p>
    <w:p w:rsidR="007B6FA4" w:rsidRPr="00D02993" w:rsidRDefault="007B6FA4" w:rsidP="007B6FA4">
      <w:pPr>
        <w:pStyle w:val="21"/>
        <w:ind w:firstLine="708"/>
        <w:rPr>
          <w:sz w:val="28"/>
          <w:szCs w:val="28"/>
        </w:rPr>
      </w:pPr>
      <w:r w:rsidRPr="00D02993">
        <w:rPr>
          <w:sz w:val="28"/>
          <w:szCs w:val="28"/>
        </w:rPr>
        <w:t>Приобретение имущества осуществляется  на основании договора лизинга и в соответствии с условиями, определенными этим договором. Лизинговая сделка охватывает комплекс договорных отношений, состоящий из двух договоров: между лизингодателем и лизингополучателем (договор лизинга) и между лизингодателем и поставщиком (договор купли-продажи предмета лизинга). Срок лизинга определяется в зависимости от сроков амортизации.</w:t>
      </w:r>
    </w:p>
    <w:p w:rsidR="007B6FA4" w:rsidRPr="00D02993" w:rsidRDefault="007B6FA4" w:rsidP="007B6FA4">
      <w:pPr>
        <w:pStyle w:val="21"/>
        <w:ind w:firstLine="708"/>
        <w:rPr>
          <w:sz w:val="28"/>
          <w:szCs w:val="28"/>
        </w:rPr>
      </w:pPr>
      <w:r w:rsidRPr="00D02993">
        <w:rPr>
          <w:sz w:val="28"/>
          <w:szCs w:val="28"/>
        </w:rPr>
        <w:lastRenderedPageBreak/>
        <w:t>К финансовой аренде (лизингу) относится, в частности, аренда с последующим выкупом транспортного средства (судна) российскими организациями у иностранных арендодателей. Договор международного финансового лизинга предусматривает пересечение предметом лизинга таможенной границы Российской Федерации. Суда, полученные в долгосрочную аренду у иностранных компаний, не пересекающие таможенную границу Российской Федерации, не относятся к предмет</w:t>
      </w:r>
      <w:r w:rsidR="005455BA" w:rsidRPr="00D02993">
        <w:rPr>
          <w:sz w:val="28"/>
          <w:szCs w:val="28"/>
        </w:rPr>
        <w:t>ам финансовой аренды (лизинга);</w:t>
      </w:r>
    </w:p>
    <w:p w:rsidR="007B6FA4" w:rsidRPr="00D02993" w:rsidRDefault="007B6FA4" w:rsidP="007B6FA4">
      <w:pPr>
        <w:pStyle w:val="21"/>
        <w:ind w:firstLine="708"/>
        <w:rPr>
          <w:sz w:val="28"/>
          <w:szCs w:val="28"/>
        </w:rPr>
      </w:pPr>
      <w:r w:rsidRPr="00D02993">
        <w:rPr>
          <w:sz w:val="28"/>
          <w:szCs w:val="28"/>
        </w:rPr>
        <w:t>- суммы привлеченных заемных средств</w:t>
      </w:r>
      <w:r w:rsidRPr="00D02993">
        <w:rPr>
          <w:b/>
          <w:sz w:val="28"/>
          <w:szCs w:val="28"/>
        </w:rPr>
        <w:t xml:space="preserve"> </w:t>
      </w:r>
      <w:r w:rsidRPr="00D02993">
        <w:rPr>
          <w:sz w:val="28"/>
          <w:szCs w:val="28"/>
        </w:rPr>
        <w:t>и предоставленных кредитных ресурсов, которые имеют место между прямыми инвесторами и организациями прямого инвестирования;</w:t>
      </w:r>
    </w:p>
    <w:p w:rsidR="007B6FA4" w:rsidRPr="00D02993" w:rsidRDefault="007B6FA4" w:rsidP="007B6FA4">
      <w:pPr>
        <w:pStyle w:val="21"/>
        <w:ind w:firstLine="708"/>
        <w:rPr>
          <w:sz w:val="28"/>
          <w:szCs w:val="28"/>
        </w:rPr>
      </w:pPr>
      <w:r w:rsidRPr="00D02993">
        <w:rPr>
          <w:b/>
          <w:bCs/>
          <w:sz w:val="28"/>
          <w:szCs w:val="28"/>
        </w:rPr>
        <w:t>-</w:t>
      </w:r>
      <w:r w:rsidRPr="00D02993">
        <w:rPr>
          <w:sz w:val="28"/>
          <w:szCs w:val="28"/>
        </w:rPr>
        <w:t xml:space="preserve"> оборудование, переданное прямым инвестором организации (помимо взносов в уставный (складочный) капитал), привилегированные акции, не дающие права на участие в дополнительных прибылях, и т.п. В отчете по инвестициям за рубеж отражаются также объекты капитального строительства и недвижимость за рубежом, принадлежащие отчитывающейся организации, например, газопроводы, нефтепроводы, земли, здания, сооружения. Недвижимость на территории России, принадлежащая иностранной организации, не являющейся зарубежным совладельцем отчитывающейся организации, включается в прямые инвестиции.</w:t>
      </w:r>
    </w:p>
    <w:p w:rsidR="007B6FA4" w:rsidRPr="00D02993" w:rsidRDefault="001E6382" w:rsidP="007B6FA4">
      <w:pPr>
        <w:pStyle w:val="21"/>
        <w:ind w:firstLine="708"/>
        <w:rPr>
          <w:sz w:val="28"/>
          <w:szCs w:val="28"/>
        </w:rPr>
      </w:pPr>
      <w:r w:rsidRPr="00D02993">
        <w:rPr>
          <w:sz w:val="28"/>
          <w:szCs w:val="28"/>
        </w:rPr>
        <w:t>15</w:t>
      </w:r>
      <w:r w:rsidR="007B6FA4" w:rsidRPr="00D02993">
        <w:rPr>
          <w:sz w:val="28"/>
          <w:szCs w:val="28"/>
        </w:rPr>
        <w:t>.</w:t>
      </w:r>
      <w:r w:rsidR="007B6FA4" w:rsidRPr="00D02993">
        <w:rPr>
          <w:b/>
          <w:bCs/>
          <w:sz w:val="28"/>
          <w:szCs w:val="28"/>
        </w:rPr>
        <w:t xml:space="preserve"> По строке 030</w:t>
      </w:r>
      <w:r w:rsidR="007B6FA4" w:rsidRPr="00D02993">
        <w:rPr>
          <w:sz w:val="28"/>
          <w:szCs w:val="28"/>
        </w:rPr>
        <w:t xml:space="preserve"> показываются </w:t>
      </w:r>
      <w:r w:rsidR="007B6FA4" w:rsidRPr="00D02993">
        <w:rPr>
          <w:b/>
          <w:bCs/>
          <w:sz w:val="28"/>
          <w:szCs w:val="28"/>
        </w:rPr>
        <w:t>портфельные инвестиции</w:t>
      </w:r>
      <w:r w:rsidR="007B6FA4" w:rsidRPr="00D02993">
        <w:rPr>
          <w:b/>
          <w:sz w:val="28"/>
          <w:szCs w:val="28"/>
        </w:rPr>
        <w:t>.</w:t>
      </w:r>
    </w:p>
    <w:p w:rsidR="007B6FA4" w:rsidRPr="00D02993" w:rsidRDefault="007B6FA4" w:rsidP="007B6FA4">
      <w:pPr>
        <w:pStyle w:val="21"/>
        <w:ind w:firstLine="708"/>
        <w:rPr>
          <w:b/>
          <w:sz w:val="28"/>
          <w:szCs w:val="28"/>
        </w:rPr>
      </w:pPr>
      <w:r w:rsidRPr="00D02993">
        <w:rPr>
          <w:b/>
          <w:bCs/>
          <w:sz w:val="28"/>
          <w:szCs w:val="28"/>
        </w:rPr>
        <w:t>Портфельные</w:t>
      </w:r>
      <w:r w:rsidRPr="00D02993">
        <w:rPr>
          <w:sz w:val="28"/>
          <w:szCs w:val="28"/>
        </w:rPr>
        <w:t xml:space="preserve"> инвестиции включают покупку (продажу) акций и паев, не дающих право вкладчикам влиять на функционирование организации и составляющих менее 10% в уставном (скла</w:t>
      </w:r>
      <w:r w:rsidR="001E6382" w:rsidRPr="00D02993">
        <w:rPr>
          <w:sz w:val="28"/>
          <w:szCs w:val="28"/>
        </w:rPr>
        <w:t>дочном) капитале организации, а также</w:t>
      </w:r>
      <w:r w:rsidRPr="00D02993">
        <w:rPr>
          <w:sz w:val="28"/>
          <w:szCs w:val="28"/>
        </w:rPr>
        <w:t xml:space="preserve"> </w:t>
      </w:r>
      <w:r w:rsidR="001E6382" w:rsidRPr="00D02993">
        <w:rPr>
          <w:sz w:val="28"/>
          <w:szCs w:val="28"/>
        </w:rPr>
        <w:t xml:space="preserve">облигации, векселя, </w:t>
      </w:r>
      <w:r w:rsidRPr="00D02993">
        <w:rPr>
          <w:sz w:val="28"/>
          <w:szCs w:val="28"/>
        </w:rPr>
        <w:t>другие долговые цен</w:t>
      </w:r>
      <w:r w:rsidR="001E6382" w:rsidRPr="00D02993">
        <w:rPr>
          <w:sz w:val="28"/>
          <w:szCs w:val="28"/>
        </w:rPr>
        <w:t xml:space="preserve">ные бумаги и </w:t>
      </w:r>
      <w:r w:rsidRPr="00D02993">
        <w:rPr>
          <w:sz w:val="28"/>
          <w:szCs w:val="28"/>
        </w:rPr>
        <w:t>прочие портфельные инвестиции</w:t>
      </w:r>
      <w:r w:rsidRPr="00D02993">
        <w:rPr>
          <w:b/>
          <w:sz w:val="28"/>
          <w:szCs w:val="28"/>
        </w:rPr>
        <w:t>.</w:t>
      </w:r>
    </w:p>
    <w:p w:rsidR="007B6FA4" w:rsidRPr="00D02993" w:rsidRDefault="001E6382" w:rsidP="007B6FA4">
      <w:pPr>
        <w:pStyle w:val="21"/>
        <w:ind w:firstLine="708"/>
        <w:rPr>
          <w:b/>
          <w:sz w:val="28"/>
          <w:szCs w:val="28"/>
        </w:rPr>
      </w:pPr>
      <w:r w:rsidRPr="00D02993">
        <w:rPr>
          <w:sz w:val="28"/>
          <w:szCs w:val="28"/>
        </w:rPr>
        <w:t>16</w:t>
      </w:r>
      <w:r w:rsidR="007B6FA4" w:rsidRPr="00D02993">
        <w:rPr>
          <w:sz w:val="28"/>
          <w:szCs w:val="28"/>
        </w:rPr>
        <w:t xml:space="preserve">. </w:t>
      </w:r>
      <w:r w:rsidR="007B6FA4" w:rsidRPr="00D02993">
        <w:rPr>
          <w:b/>
          <w:sz w:val="28"/>
          <w:szCs w:val="28"/>
        </w:rPr>
        <w:t>По</w:t>
      </w:r>
      <w:r w:rsidR="007B6FA4" w:rsidRPr="00D02993">
        <w:rPr>
          <w:sz w:val="28"/>
          <w:szCs w:val="28"/>
        </w:rPr>
        <w:t xml:space="preserve"> </w:t>
      </w:r>
      <w:r w:rsidR="007B6FA4" w:rsidRPr="00D02993">
        <w:rPr>
          <w:b/>
          <w:bCs/>
          <w:sz w:val="28"/>
          <w:szCs w:val="28"/>
        </w:rPr>
        <w:t>строке 040</w:t>
      </w:r>
      <w:r w:rsidR="007B6FA4" w:rsidRPr="00D02993">
        <w:rPr>
          <w:sz w:val="28"/>
          <w:szCs w:val="28"/>
        </w:rPr>
        <w:t xml:space="preserve"> показываются </w:t>
      </w:r>
      <w:r w:rsidR="007B6FA4" w:rsidRPr="00D02993">
        <w:rPr>
          <w:b/>
          <w:bCs/>
          <w:sz w:val="28"/>
          <w:szCs w:val="28"/>
        </w:rPr>
        <w:t>прочие инвестиции</w:t>
      </w:r>
      <w:r w:rsidR="007B6FA4" w:rsidRPr="00D02993">
        <w:rPr>
          <w:b/>
          <w:sz w:val="28"/>
          <w:szCs w:val="28"/>
        </w:rPr>
        <w:t>.</w:t>
      </w:r>
    </w:p>
    <w:p w:rsidR="007B6FA4" w:rsidRPr="00D02993" w:rsidRDefault="007B6FA4" w:rsidP="007B6FA4">
      <w:pPr>
        <w:pStyle w:val="21"/>
        <w:ind w:firstLine="708"/>
        <w:rPr>
          <w:sz w:val="28"/>
          <w:szCs w:val="28"/>
        </w:rPr>
      </w:pPr>
      <w:r w:rsidRPr="00D02993">
        <w:rPr>
          <w:sz w:val="28"/>
          <w:szCs w:val="28"/>
        </w:rPr>
        <w:t xml:space="preserve">К категории </w:t>
      </w:r>
      <w:r w:rsidRPr="00D02993">
        <w:rPr>
          <w:b/>
          <w:sz w:val="28"/>
          <w:szCs w:val="28"/>
        </w:rPr>
        <w:t xml:space="preserve">прочих </w:t>
      </w:r>
      <w:r w:rsidRPr="00D02993">
        <w:rPr>
          <w:sz w:val="28"/>
          <w:szCs w:val="28"/>
        </w:rPr>
        <w:t>инвестиций относятся инвестиции, не подпадающие под  определение прямых или портфельных (торговые кредиты, прочие кредиты (кроме торговых кредитов и кредитов, полученных от прямых инвесторов) и прочие активы и обязательства).</w:t>
      </w:r>
    </w:p>
    <w:p w:rsidR="007B6FA4" w:rsidRPr="00D02993" w:rsidRDefault="007B6FA4" w:rsidP="007B6FA4">
      <w:pPr>
        <w:pStyle w:val="21"/>
        <w:ind w:firstLine="708"/>
        <w:rPr>
          <w:sz w:val="28"/>
          <w:szCs w:val="28"/>
        </w:rPr>
      </w:pPr>
      <w:r w:rsidRPr="00D02993">
        <w:rPr>
          <w:sz w:val="28"/>
          <w:szCs w:val="28"/>
        </w:rPr>
        <w:t xml:space="preserve">В </w:t>
      </w:r>
      <w:r w:rsidRPr="00D02993">
        <w:rPr>
          <w:b/>
          <w:bCs/>
          <w:sz w:val="28"/>
          <w:szCs w:val="28"/>
        </w:rPr>
        <w:t>строке 040</w:t>
      </w:r>
      <w:r w:rsidRPr="00D02993">
        <w:rPr>
          <w:sz w:val="28"/>
          <w:szCs w:val="28"/>
        </w:rPr>
        <w:t xml:space="preserve"> отражаются:</w:t>
      </w:r>
    </w:p>
    <w:p w:rsidR="007B6FA4" w:rsidRPr="00D02993" w:rsidRDefault="007B6FA4" w:rsidP="007B6FA4">
      <w:pPr>
        <w:pStyle w:val="21"/>
        <w:ind w:firstLine="708"/>
        <w:rPr>
          <w:sz w:val="28"/>
          <w:szCs w:val="28"/>
        </w:rPr>
      </w:pPr>
      <w:r w:rsidRPr="00D02993">
        <w:rPr>
          <w:sz w:val="28"/>
          <w:szCs w:val="28"/>
        </w:rPr>
        <w:t xml:space="preserve">- торговые (коммерческие) кредиты – активы и обязательства, которые возникают в ходе торговых операций как результат предоставления поставщиком прямого кредита покупателю (ситуация, когда момент оплаты товаров и услуг не совпадает с моментом перехода прав собственности на товары или услуги, являющиеся предметом сделки). </w:t>
      </w:r>
    </w:p>
    <w:p w:rsidR="007B6FA4" w:rsidRPr="00D02993" w:rsidRDefault="007B6FA4" w:rsidP="007B6FA4">
      <w:pPr>
        <w:pStyle w:val="21"/>
        <w:ind w:firstLine="708"/>
        <w:rPr>
          <w:sz w:val="28"/>
          <w:szCs w:val="28"/>
        </w:rPr>
      </w:pPr>
      <w:r w:rsidRPr="00D02993">
        <w:rPr>
          <w:sz w:val="28"/>
          <w:szCs w:val="28"/>
        </w:rPr>
        <w:t xml:space="preserve">В отчет по инвестициям </w:t>
      </w:r>
      <w:r w:rsidR="00EC6117" w:rsidRPr="00D02993">
        <w:rPr>
          <w:iCs/>
          <w:sz w:val="28"/>
          <w:szCs w:val="28"/>
        </w:rPr>
        <w:t>из-за рубежа</w:t>
      </w:r>
      <w:r w:rsidRPr="00D02993">
        <w:rPr>
          <w:sz w:val="28"/>
          <w:szCs w:val="28"/>
        </w:rPr>
        <w:t xml:space="preserve"> включаются полученная предоплата по экспорту товаров и услуг</w:t>
      </w:r>
      <w:r w:rsidR="00CA765C" w:rsidRPr="00D02993">
        <w:rPr>
          <w:sz w:val="28"/>
          <w:szCs w:val="28"/>
        </w:rPr>
        <w:t>, а также</w:t>
      </w:r>
      <w:r w:rsidRPr="00D02993">
        <w:rPr>
          <w:sz w:val="28"/>
          <w:szCs w:val="28"/>
        </w:rPr>
        <w:t xml:space="preserve"> неоплаченные счета по импортным поставкам товаров и оказанным услугам.</w:t>
      </w:r>
    </w:p>
    <w:p w:rsidR="007B6FA4" w:rsidRPr="00D02993" w:rsidRDefault="007B6FA4" w:rsidP="007B6FA4">
      <w:pPr>
        <w:pStyle w:val="21"/>
        <w:ind w:firstLine="708"/>
        <w:rPr>
          <w:sz w:val="28"/>
          <w:szCs w:val="28"/>
        </w:rPr>
      </w:pPr>
      <w:r w:rsidRPr="00D02993">
        <w:rPr>
          <w:sz w:val="28"/>
          <w:szCs w:val="28"/>
        </w:rPr>
        <w:t>Курсовая разница, возникающая при погашении торговых кредитов, отражается как прочие изменения активов и обязательств.</w:t>
      </w:r>
    </w:p>
    <w:p w:rsidR="007B6FA4" w:rsidRPr="00D02993" w:rsidRDefault="007B6FA4" w:rsidP="007B6FA4">
      <w:pPr>
        <w:pStyle w:val="21"/>
        <w:ind w:firstLine="708"/>
        <w:rPr>
          <w:sz w:val="28"/>
          <w:szCs w:val="28"/>
        </w:rPr>
      </w:pPr>
      <w:r w:rsidRPr="00D02993">
        <w:rPr>
          <w:sz w:val="28"/>
          <w:szCs w:val="28"/>
        </w:rPr>
        <w:t>Проценты по торговым кредитам отражаются как доход от прочих инвестиций.</w:t>
      </w:r>
    </w:p>
    <w:p w:rsidR="007B6FA4" w:rsidRPr="00D02993" w:rsidRDefault="007B6FA4" w:rsidP="007B6FA4">
      <w:pPr>
        <w:pStyle w:val="21"/>
        <w:ind w:firstLine="708"/>
        <w:rPr>
          <w:sz w:val="28"/>
          <w:szCs w:val="28"/>
        </w:rPr>
      </w:pPr>
      <w:r w:rsidRPr="00D02993">
        <w:rPr>
          <w:sz w:val="28"/>
          <w:szCs w:val="28"/>
        </w:rPr>
        <w:t>Торговый кредит прямого зарубежного совладельца организации отражается как прямые инвестиции.</w:t>
      </w:r>
    </w:p>
    <w:p w:rsidR="007B6FA4" w:rsidRPr="00D02993" w:rsidRDefault="007B6FA4" w:rsidP="007B6FA4">
      <w:pPr>
        <w:pStyle w:val="21"/>
        <w:ind w:firstLine="708"/>
        <w:rPr>
          <w:sz w:val="28"/>
          <w:szCs w:val="28"/>
        </w:rPr>
      </w:pPr>
      <w:r w:rsidRPr="00D02993">
        <w:rPr>
          <w:sz w:val="28"/>
          <w:szCs w:val="28"/>
        </w:rPr>
        <w:t xml:space="preserve">Средства, предоставленные на приобретение товаров или услуг организацией, не являющейся поставщиком, не относятся к торговым кредитам; </w:t>
      </w:r>
    </w:p>
    <w:p w:rsidR="007B6FA4" w:rsidRPr="00D02993" w:rsidRDefault="007B6FA4" w:rsidP="007B6FA4">
      <w:pPr>
        <w:pStyle w:val="21"/>
        <w:ind w:firstLine="708"/>
        <w:rPr>
          <w:sz w:val="28"/>
          <w:szCs w:val="28"/>
        </w:rPr>
      </w:pPr>
      <w:r w:rsidRPr="00D02993">
        <w:rPr>
          <w:sz w:val="28"/>
          <w:szCs w:val="28"/>
        </w:rPr>
        <w:lastRenderedPageBreak/>
        <w:t>-</w:t>
      </w:r>
      <w:r w:rsidR="00EC6117" w:rsidRPr="00D02993">
        <w:rPr>
          <w:sz w:val="28"/>
          <w:szCs w:val="28"/>
        </w:rPr>
        <w:t xml:space="preserve"> </w:t>
      </w:r>
      <w:r w:rsidRPr="00D02993">
        <w:rPr>
          <w:sz w:val="28"/>
          <w:szCs w:val="28"/>
        </w:rPr>
        <w:t>суммы различных кредитов (кроме торговых и полученных от прямых инвесторов), предоставленных банком или иной кредитной организацией (кредитором), в размере и на условиях, предусмотренных договором. При этом заемщик обязуется возвратить полученную денежную сумму и уплатить проценты на нее. Проценты по кредитам отражаются как доходы;</w:t>
      </w:r>
    </w:p>
    <w:p w:rsidR="007B6FA4" w:rsidRPr="00D02993" w:rsidRDefault="007B6FA4" w:rsidP="007B6FA4">
      <w:pPr>
        <w:pStyle w:val="21"/>
        <w:ind w:firstLine="708"/>
        <w:rPr>
          <w:sz w:val="28"/>
          <w:szCs w:val="28"/>
        </w:rPr>
      </w:pPr>
      <w:r w:rsidRPr="00D02993">
        <w:rPr>
          <w:sz w:val="28"/>
          <w:szCs w:val="28"/>
        </w:rPr>
        <w:t>- кредиты</w:t>
      </w:r>
      <w:r w:rsidRPr="00D02993">
        <w:rPr>
          <w:b/>
          <w:bCs/>
          <w:sz w:val="28"/>
          <w:szCs w:val="28"/>
        </w:rPr>
        <w:t xml:space="preserve"> </w:t>
      </w:r>
      <w:r w:rsidRPr="00D02993">
        <w:rPr>
          <w:sz w:val="28"/>
          <w:szCs w:val="28"/>
        </w:rPr>
        <w:t>правительств иностранных государств</w:t>
      </w:r>
      <w:r w:rsidRPr="00D02993">
        <w:rPr>
          <w:b/>
          <w:bCs/>
          <w:sz w:val="28"/>
          <w:szCs w:val="28"/>
        </w:rPr>
        <w:t xml:space="preserve"> </w:t>
      </w:r>
      <w:r w:rsidRPr="00D02993">
        <w:rPr>
          <w:sz w:val="28"/>
          <w:szCs w:val="28"/>
        </w:rPr>
        <w:t xml:space="preserve">под гарантии Правительства Российской Федерации.  </w:t>
      </w:r>
    </w:p>
    <w:p w:rsidR="007B6FA4" w:rsidRPr="00D02993" w:rsidRDefault="007B6FA4" w:rsidP="007B6FA4">
      <w:pPr>
        <w:pStyle w:val="21"/>
        <w:ind w:firstLine="708"/>
        <w:rPr>
          <w:sz w:val="28"/>
          <w:szCs w:val="28"/>
        </w:rPr>
      </w:pPr>
      <w:r w:rsidRPr="00D02993">
        <w:rPr>
          <w:sz w:val="28"/>
          <w:szCs w:val="28"/>
        </w:rPr>
        <w:t>К кредитам в иностранной валюте, формирующим внешний долг Российской Федерации, наряду с кредитами, получаемыми Правительством Российской Федерации,  от имени Правительства Российской Федерации или по его поручению, относятся кредиты под гарантии Правительства Российской Федерации и погашаемые за счет централизованных валютных средств, собственных средств организаций или государственного кредита.</w:t>
      </w:r>
    </w:p>
    <w:p w:rsidR="007B6FA4" w:rsidRPr="00D02993" w:rsidRDefault="007B6FA4" w:rsidP="007B6FA4">
      <w:pPr>
        <w:pStyle w:val="21"/>
        <w:ind w:firstLine="708"/>
        <w:rPr>
          <w:sz w:val="28"/>
          <w:szCs w:val="28"/>
        </w:rPr>
      </w:pPr>
      <w:r w:rsidRPr="00D02993">
        <w:rPr>
          <w:sz w:val="28"/>
          <w:szCs w:val="28"/>
        </w:rPr>
        <w:t xml:space="preserve"> К этим кредитам относятся кредиты, предоставляемые Российской Федерации иностранными государствами, банками, международными финансовыми организациями, межгосударственными объединениями, отдельными фирмами под гарантии Правительства Российской Федерации;</w:t>
      </w:r>
    </w:p>
    <w:p w:rsidR="007B6FA4" w:rsidRPr="00D02993" w:rsidRDefault="007B6FA4" w:rsidP="007B6FA4">
      <w:pPr>
        <w:pStyle w:val="21"/>
        <w:ind w:firstLine="708"/>
        <w:rPr>
          <w:sz w:val="28"/>
          <w:szCs w:val="28"/>
        </w:rPr>
      </w:pPr>
      <w:r w:rsidRPr="00D02993">
        <w:rPr>
          <w:sz w:val="28"/>
          <w:szCs w:val="28"/>
        </w:rPr>
        <w:t>- прочие активы и обязательства. В эту остаточную категорию входят все неотраженные выше финансовые активы и пассивы, например, дебиторская и кредиторская задолженности, относящиеся к просроченным ссудным платежам, невыплаченной заработной плате, неуплаченным налогам.</w:t>
      </w:r>
    </w:p>
    <w:p w:rsidR="007B6FA4" w:rsidRPr="007B6FA4" w:rsidRDefault="007B6FA4" w:rsidP="007B6FA4">
      <w:pPr>
        <w:pStyle w:val="21"/>
        <w:ind w:firstLine="708"/>
        <w:rPr>
          <w:sz w:val="28"/>
          <w:szCs w:val="28"/>
        </w:rPr>
      </w:pPr>
      <w:r w:rsidRPr="00D02993">
        <w:rPr>
          <w:sz w:val="28"/>
          <w:szCs w:val="28"/>
        </w:rPr>
        <w:t xml:space="preserve">Кредиты, полученные российскими организациями от представительства иностранного банка, являющегося резидентом России, не являются иностранными инвестициями и в </w:t>
      </w:r>
      <w:r w:rsidR="002A2C09">
        <w:rPr>
          <w:sz w:val="28"/>
          <w:szCs w:val="28"/>
        </w:rPr>
        <w:t>республиканское</w:t>
      </w:r>
      <w:r w:rsidRPr="00D02993">
        <w:rPr>
          <w:sz w:val="28"/>
          <w:szCs w:val="28"/>
        </w:rPr>
        <w:t xml:space="preserve"> наблюдение не включаются.</w:t>
      </w:r>
    </w:p>
    <w:p w:rsidR="007B6FA4" w:rsidRPr="007B6FA4" w:rsidRDefault="007B6FA4" w:rsidP="00610905">
      <w:pPr>
        <w:pStyle w:val="21"/>
        <w:ind w:firstLine="709"/>
        <w:rPr>
          <w:sz w:val="28"/>
          <w:szCs w:val="28"/>
        </w:rPr>
      </w:pPr>
    </w:p>
    <w:p w:rsidR="000A4B38" w:rsidRDefault="000A4B38" w:rsidP="00EF6F3B">
      <w:pPr>
        <w:pStyle w:val="21"/>
        <w:ind w:firstLine="708"/>
        <w:rPr>
          <w:sz w:val="28"/>
          <w:szCs w:val="28"/>
        </w:rPr>
      </w:pPr>
    </w:p>
    <w:p w:rsidR="000A4B38" w:rsidRPr="00EF6F3B" w:rsidRDefault="000A4B38" w:rsidP="00EF6F3B">
      <w:pPr>
        <w:pStyle w:val="21"/>
        <w:ind w:firstLine="708"/>
        <w:rPr>
          <w:sz w:val="28"/>
          <w:szCs w:val="28"/>
        </w:rPr>
      </w:pPr>
    </w:p>
    <w:p w:rsidR="00814FD9" w:rsidRPr="00814FD9" w:rsidRDefault="00814FD9" w:rsidP="00EF6F3B">
      <w:pPr>
        <w:pStyle w:val="21"/>
        <w:ind w:firstLine="708"/>
        <w:rPr>
          <w:sz w:val="28"/>
          <w:szCs w:val="28"/>
        </w:rPr>
      </w:pPr>
    </w:p>
    <w:p w:rsidR="00850D5A" w:rsidRDefault="00850D5A" w:rsidP="00A038EA">
      <w:pPr>
        <w:pStyle w:val="21"/>
        <w:ind w:firstLine="709"/>
        <w:rPr>
          <w:sz w:val="28"/>
          <w:szCs w:val="28"/>
        </w:rPr>
      </w:pPr>
    </w:p>
    <w:p w:rsidR="00850D5A" w:rsidRPr="00850D5A" w:rsidRDefault="00850D5A" w:rsidP="00A038EA">
      <w:pPr>
        <w:pStyle w:val="21"/>
        <w:ind w:firstLine="709"/>
        <w:rPr>
          <w:sz w:val="28"/>
          <w:szCs w:val="28"/>
        </w:rPr>
      </w:pPr>
    </w:p>
    <w:p w:rsidR="00850D5A" w:rsidRPr="00A038EA" w:rsidRDefault="00850D5A" w:rsidP="00A038EA">
      <w:pPr>
        <w:pStyle w:val="21"/>
        <w:ind w:firstLine="709"/>
        <w:rPr>
          <w:szCs w:val="24"/>
        </w:rPr>
      </w:pPr>
    </w:p>
    <w:p w:rsidR="00A038EA" w:rsidRPr="00A038EA" w:rsidRDefault="00A038EA" w:rsidP="00A038EA">
      <w:pPr>
        <w:pStyle w:val="21"/>
        <w:ind w:firstLine="709"/>
        <w:rPr>
          <w:szCs w:val="24"/>
        </w:rPr>
      </w:pPr>
    </w:p>
    <w:p w:rsidR="00A038EA" w:rsidRDefault="00A038EA" w:rsidP="00A038EA">
      <w:pPr>
        <w:spacing w:after="0"/>
        <w:rPr>
          <w:rFonts w:ascii="Times New Roman" w:hAnsi="Times New Roman" w:cs="Times New Roman"/>
          <w:b/>
          <w:sz w:val="28"/>
          <w:szCs w:val="28"/>
        </w:rPr>
      </w:pPr>
    </w:p>
    <w:p w:rsidR="00A038EA" w:rsidRPr="00A038EA" w:rsidRDefault="00A038EA" w:rsidP="00A038EA">
      <w:pPr>
        <w:spacing w:after="0"/>
        <w:jc w:val="center"/>
        <w:rPr>
          <w:rFonts w:ascii="Times New Roman" w:hAnsi="Times New Roman" w:cs="Times New Roman"/>
          <w:sz w:val="28"/>
          <w:szCs w:val="28"/>
        </w:rPr>
      </w:pPr>
    </w:p>
    <w:sectPr w:rsidR="00A038EA" w:rsidRPr="00A038EA" w:rsidSect="00850D5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59" w:rsidRDefault="00962259" w:rsidP="007B6FA4">
      <w:pPr>
        <w:spacing w:after="0" w:line="240" w:lineRule="auto"/>
      </w:pPr>
      <w:r>
        <w:separator/>
      </w:r>
    </w:p>
  </w:endnote>
  <w:endnote w:type="continuationSeparator" w:id="0">
    <w:p w:rsidR="00962259" w:rsidRDefault="00962259" w:rsidP="007B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59" w:rsidRDefault="00962259" w:rsidP="007B6FA4">
      <w:pPr>
        <w:spacing w:after="0" w:line="240" w:lineRule="auto"/>
      </w:pPr>
      <w:r>
        <w:separator/>
      </w:r>
    </w:p>
  </w:footnote>
  <w:footnote w:type="continuationSeparator" w:id="0">
    <w:p w:rsidR="00962259" w:rsidRDefault="00962259" w:rsidP="007B6FA4">
      <w:pPr>
        <w:spacing w:after="0" w:line="240" w:lineRule="auto"/>
      </w:pPr>
      <w:r>
        <w:continuationSeparator/>
      </w:r>
    </w:p>
  </w:footnote>
  <w:footnote w:id="1">
    <w:p w:rsidR="00B2675B" w:rsidRPr="0034495E" w:rsidRDefault="00B2675B" w:rsidP="007B6FA4">
      <w:pPr>
        <w:pStyle w:val="a3"/>
      </w:pPr>
      <w:r>
        <w:rPr>
          <w:rStyle w:val="a5"/>
        </w:rPr>
        <w:t>*</w:t>
      </w:r>
      <w:r>
        <w:t xml:space="preserve"> </w:t>
      </w:r>
      <w:r w:rsidRPr="007B6FA4">
        <w:rPr>
          <w:rFonts w:ascii="Times New Roman" w:hAnsi="Times New Roman" w:cs="Times New Roman"/>
        </w:rPr>
        <w:t>Только для целей заполнения формы № 1-инвест-рег.</w:t>
      </w:r>
    </w:p>
  </w:footnote>
  <w:footnote w:id="2">
    <w:p w:rsidR="00B2675B" w:rsidRPr="0034495E" w:rsidRDefault="00B2675B" w:rsidP="007B6FA4">
      <w:pPr>
        <w:pStyle w:val="a3"/>
      </w:pPr>
    </w:p>
  </w:footnote>
  <w:footnote w:id="3">
    <w:p w:rsidR="00B2675B" w:rsidRPr="00C83436" w:rsidRDefault="00B2675B" w:rsidP="007B6FA4">
      <w:pPr>
        <w:pStyle w:val="a3"/>
      </w:pPr>
      <w:r w:rsidRPr="00EC6117">
        <w:rPr>
          <w:rStyle w:val="a5"/>
          <w:rFonts w:ascii="Times New Roman" w:hAnsi="Times New Roman" w:cs="Times New Roman"/>
        </w:rPr>
        <w:t>*</w:t>
      </w:r>
      <w:r w:rsidRPr="00EC6117">
        <w:rPr>
          <w:rFonts w:ascii="Times New Roman" w:hAnsi="Times New Roman" w:cs="Times New Roman"/>
        </w:rPr>
        <w:t xml:space="preserve"> Исходная информация в отчет не включается</w:t>
      </w:r>
      <w:r w:rsidRPr="00C83436">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F2A"/>
    <w:multiLevelType w:val="hybridMultilevel"/>
    <w:tmpl w:val="2F3A2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EA"/>
    <w:rsid w:val="00003A3D"/>
    <w:rsid w:val="000A4B38"/>
    <w:rsid w:val="000B3B95"/>
    <w:rsid w:val="00140727"/>
    <w:rsid w:val="001B5154"/>
    <w:rsid w:val="001E6382"/>
    <w:rsid w:val="001E6861"/>
    <w:rsid w:val="00247FEB"/>
    <w:rsid w:val="0029646E"/>
    <w:rsid w:val="002A2C09"/>
    <w:rsid w:val="00330055"/>
    <w:rsid w:val="00386BED"/>
    <w:rsid w:val="003B79D9"/>
    <w:rsid w:val="003F18E1"/>
    <w:rsid w:val="00407D88"/>
    <w:rsid w:val="00411867"/>
    <w:rsid w:val="004235DB"/>
    <w:rsid w:val="00427579"/>
    <w:rsid w:val="004340B7"/>
    <w:rsid w:val="00511161"/>
    <w:rsid w:val="005455BA"/>
    <w:rsid w:val="00552B3E"/>
    <w:rsid w:val="00566EC1"/>
    <w:rsid w:val="00594EF9"/>
    <w:rsid w:val="00610905"/>
    <w:rsid w:val="006A0508"/>
    <w:rsid w:val="007069F9"/>
    <w:rsid w:val="00755550"/>
    <w:rsid w:val="007A34AE"/>
    <w:rsid w:val="007A4D3B"/>
    <w:rsid w:val="007B18DE"/>
    <w:rsid w:val="007B6FA4"/>
    <w:rsid w:val="00814FD9"/>
    <w:rsid w:val="00826615"/>
    <w:rsid w:val="00850D5A"/>
    <w:rsid w:val="008840A6"/>
    <w:rsid w:val="009550D7"/>
    <w:rsid w:val="00962259"/>
    <w:rsid w:val="009E309C"/>
    <w:rsid w:val="00A038EA"/>
    <w:rsid w:val="00A66892"/>
    <w:rsid w:val="00B2675B"/>
    <w:rsid w:val="00B56863"/>
    <w:rsid w:val="00BB1A90"/>
    <w:rsid w:val="00C05D32"/>
    <w:rsid w:val="00CA765C"/>
    <w:rsid w:val="00CB52C2"/>
    <w:rsid w:val="00CF7B75"/>
    <w:rsid w:val="00D02993"/>
    <w:rsid w:val="00D120BF"/>
    <w:rsid w:val="00D20D9A"/>
    <w:rsid w:val="00D65F8E"/>
    <w:rsid w:val="00EC6117"/>
    <w:rsid w:val="00EF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51C0F7"/>
  <w15:docId w15:val="{2503C2A4-BAF4-4801-AE41-A64A866C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038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
    <w:rsid w:val="006109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7B6FA4"/>
    <w:pPr>
      <w:spacing w:after="0" w:line="240" w:lineRule="auto"/>
    </w:pPr>
    <w:rPr>
      <w:sz w:val="20"/>
      <w:szCs w:val="20"/>
    </w:rPr>
  </w:style>
  <w:style w:type="character" w:customStyle="1" w:styleId="a4">
    <w:name w:val="Текст сноски Знак"/>
    <w:basedOn w:val="a0"/>
    <w:link w:val="a3"/>
    <w:uiPriority w:val="99"/>
    <w:semiHidden/>
    <w:rsid w:val="007B6FA4"/>
    <w:rPr>
      <w:sz w:val="20"/>
      <w:szCs w:val="20"/>
    </w:rPr>
  </w:style>
  <w:style w:type="character" w:styleId="a5">
    <w:name w:val="footnote reference"/>
    <w:semiHidden/>
    <w:rsid w:val="007B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6658-06E1-480B-935C-D8334116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3041</Words>
  <Characters>17338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shaimardanoval</dc:creator>
  <cp:lastModifiedBy>Логинова Виктория</cp:lastModifiedBy>
  <cp:revision>12</cp:revision>
  <dcterms:created xsi:type="dcterms:W3CDTF">2018-01-31T10:34:00Z</dcterms:created>
  <dcterms:modified xsi:type="dcterms:W3CDTF">2021-02-04T11:47:00Z</dcterms:modified>
</cp:coreProperties>
</file>